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notes.xml" ContentType="application/vnd.openxmlformats-officedocument.wordprocessingml.footnotes+xml"/>
  <Override PartName="/word/footer4.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B73D2" w:rsidR="000C7D2B" w:rsidP="00461396" w:rsidRDefault="0087540A" w14:paraId="76837AD4" w14:textId="77777777">
      <w:pPr>
        <w:overflowPunct w:val="0"/>
        <w:jc w:val="center"/>
        <w:textAlignment w:val="auto"/>
        <w:rPr>
          <w:color w:val="auto"/>
        </w:rPr>
      </w:pPr>
      <w:bookmarkStart w:name="_GoBack" w:id="0"/>
      <w:bookmarkEnd w:id="0"/>
      <w:r w:rsidRPr="00FB73D2">
        <w:rPr>
          <w:noProof/>
          <w:color w:val="auto"/>
          <w:lang w:val="en-US"/>
        </w:rPr>
        <w:drawing>
          <wp:inline distT="0" distB="0" distL="0" distR="0" wp14:anchorId="2CEC59EA" wp14:editId="02423EF4">
            <wp:extent cx="1792800" cy="1240079"/>
            <wp:effectExtent l="0" t="0" r="0" b="0"/>
            <wp:docPr id="5" name="Picture 5" title="EESC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logo_EESC-vertical-positive-en-quadri_M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800" cy="1240079"/>
                    </a:xfrm>
                    <a:prstGeom prst="rect">
                      <a:avLst/>
                    </a:prstGeom>
                  </pic:spPr>
                </pic:pic>
              </a:graphicData>
            </a:graphic>
          </wp:inline>
        </w:drawing>
      </w:r>
      <w:r w:rsidRPr="00FB73D2" w:rsidR="00BD1CF7">
        <w:rPr>
          <w:noProof/>
          <w:color w:val="auto"/>
          <w:lang w:val="en-US"/>
        </w:rPr>
        <mc:AlternateContent>
          <mc:Choice Requires="wps">
            <w:drawing>
              <wp:anchor distT="0" distB="0" distL="114300" distR="114300" simplePos="0" relativeHeight="2" behindDoc="1" locked="0" layoutInCell="1" allowOverlap="1" wp14:editId="3995EC91" wp14:anchorId="4275BB0E">
                <wp:simplePos x="0" y="0"/>
                <wp:positionH relativeFrom="page">
                  <wp:posOffset>6769100</wp:posOffset>
                </wp:positionH>
                <wp:positionV relativeFrom="page">
                  <wp:posOffset>10081260</wp:posOffset>
                </wp:positionV>
                <wp:extent cx="649605" cy="398145"/>
                <wp:effectExtent l="0" t="0" r="0" b="3810"/>
                <wp:wrapNone/>
                <wp:docPr id="1" name="Text Box 17"/>
                <wp:cNvGraphicFramePr/>
                <a:graphic xmlns:a="http://schemas.openxmlformats.org/drawingml/2006/main">
                  <a:graphicData uri="http://schemas.microsoft.com/office/word/2010/wordprocessingShape">
                    <wps:wsp>
                      <wps:cNvSpPr/>
                      <wps:spPr>
                        <a:xfrm>
                          <a:off x="0" y="0"/>
                          <a:ext cx="649080" cy="397440"/>
                        </a:xfrm>
                        <a:prstGeom prst="rect">
                          <a:avLst/>
                        </a:prstGeom>
                        <a:noFill/>
                        <a:ln>
                          <a:noFill/>
                        </a:ln>
                      </wps:spPr>
                      <wps:style>
                        <a:lnRef idx="0">
                          <a:scrgbClr r="0" g="0" b="0"/>
                        </a:lnRef>
                        <a:fillRef idx="0">
                          <a:scrgbClr r="0" g="0" b="0"/>
                        </a:fillRef>
                        <a:effectRef idx="0">
                          <a:scrgbClr r="0" g="0" b="0"/>
                        </a:effectRef>
                        <a:fontRef idx="minor"/>
                      </wps:style>
                      <wps:txbx>
                        <w:txbxContent>
                          <w:p w:rsidRPr="003C0224" w:rsidR="00784F87" w:rsidRDefault="00784F87" w14:paraId="3ED47152" w14:textId="77777777">
                            <w:pPr>
                              <w:overflowPunct w:val="0"/>
                              <w:jc w:val="center"/>
                              <w:textAlignment w:val="auto"/>
                            </w:pPr>
                            <w:r w:rsidRPr="003C0224">
                              <w:rPr>
                                <w:rFonts w:ascii="Arial" w:hAnsi="Arial" w:cs="Arial"/>
                                <w:b/>
                                <w:sz w:val="48"/>
                              </w:rPr>
                              <w:t>EN</w:t>
                            </w:r>
                          </w:p>
                        </w:txbxContent>
                      </wps:txbx>
                      <wps:bodyPr>
                        <a:noAutofit/>
                      </wps:bodyPr>
                    </wps:wsp>
                  </a:graphicData>
                </a:graphic>
              </wp:anchor>
            </w:drawing>
          </mc:Choice>
          <mc:Fallback>
            <w:pict>
              <v:rect id="Text Box 17" style="position:absolute;left:0;text-align:left;margin-left:533pt;margin-top:793.8pt;width:51.15pt;height:31.35pt;z-index:-503316478;visibility:visible;mso-wrap-style:square;mso-wrap-distance-left:9pt;mso-wrap-distance-top:0;mso-wrap-distance-right:9pt;mso-wrap-distance-bottom:0;mso-position-horizontal:absolute;mso-position-horizontal-relative:page;mso-position-vertical:absolute;mso-position-vertical-relative:page;v-text-anchor:top" o:spid="_x0000_s1026" filled="f" stroked="f" w14:anchorId="4275BB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YfyQEAAOwDAAAOAAAAZHJzL2Uyb0RvYy54bWysU9tu2zAMfR+wfxD0vtjpgl6MOMW2onsZ&#10;tmLtPkCRpViAJAqUGjt/P0p23F2eOuxFlkgekueQ3t6OzrKjwmjAt3y9qjlTXkJn/KHlP57u311z&#10;FpPwnbDgVctPKvLb3ds32yE06gJ6sJ1CRkl8bIbQ8j6l0FRVlL1yIq4gKE9ODehEoiceqg7FQNmd&#10;rS7q+rIaALuAIFWMZL2bnHxX8mutZPqmdVSJ2ZZTb6mcWM59PqvdVjQHFKE3cm5D/EMXThhPRZdU&#10;dyIJ9ozmr1TOSIQIOq0kuAq0NlIVDsRmXf/B5rEXQRUuJE4Mi0zx/6WVX48PyExHs+PMC0cjelJj&#10;Yh9hZOurLM8QYkNRj+EB51eka+Y6anT5SyzYWCQ9LZLmHJKMl5ub+pqEl+R6f3O12RTJqxdwwJg+&#10;K3AsX1qONLEipDh+iYkKUug5JNfycG+sLVOz/jcDBWZLlfudOiy3dLIqx1n/XWkiWhrNhijxsP9k&#10;kU3bQOtKbZ53oiQjQA7UVPCV2BmS0aos4SvxC6jUB58WvDMeMI9l4jmxy0TTuB/n+eyhO00T8vDh&#10;OYE2RcgcdXYVNK1U0Xde/7yzv75LjZefdPcTAAD//wMAUEsDBBQABgAIAAAAIQAg3pJS5AAAAA8B&#10;AAAPAAAAZHJzL2Rvd25yZXYueG1sTI9RS8MwFIXfBf9DuIIv4pI5FkttOmQgDhGGne45a2JbbG66&#10;Jmvrv/fuyb2dwz2c+51sNbmWDbYPjUcF85kAZrH0psFKwefu5T4BFqJGo1uPVsGvDbDKr68ynRo/&#10;4ocdilgxKsGQagV1jF3KeShr63SY+c4i3b5973Qk21fc9HqkctfyByEkd7pB+lDrzq5rW/4UJ6dg&#10;LLfDfvf+yrd3+43H4+a4Lr7elLq9mZ6fgEU7xf8wnPEJHXJiOvgTmsBa8kJKGhNJLZNHCeycmctk&#10;AexASi7FAnie8csd+R8AAAD//wMAUEsBAi0AFAAGAAgAAAAhALaDOJL+AAAA4QEAABMAAAAAAAAA&#10;AAAAAAAAAAAAAFtDb250ZW50X1R5cGVzXS54bWxQSwECLQAUAAYACAAAACEAOP0h/9YAAACUAQAA&#10;CwAAAAAAAAAAAAAAAAAvAQAAX3JlbHMvLnJlbHNQSwECLQAUAAYACAAAACEA2LTGH8kBAADsAwAA&#10;DgAAAAAAAAAAAAAAAAAuAgAAZHJzL2Uyb0RvYy54bWxQSwECLQAUAAYACAAAACEAIN6SUuQAAAAP&#10;AQAADwAAAAAAAAAAAAAAAAAjBAAAZHJzL2Rvd25yZXYueG1sUEsFBgAAAAAEAAQA8wAAADQFAAAA&#10;AA==&#10;">
                <v:textbox>
                  <w:txbxContent>
                    <w:p w:rsidRPr="003C0224" w:rsidR="00784F87" w:rsidRDefault="00784F87" w14:paraId="3ED47152" w14:textId="77777777">
                      <w:pPr>
                        <w:overflowPunct w:val="0"/>
                        <w:jc w:val="center"/>
                        <w:textAlignment w:val="auto"/>
                      </w:pPr>
                      <w:r w:rsidRPr="003C0224">
                        <w:rPr>
                          <w:rFonts w:ascii="Arial" w:hAnsi="Arial" w:cs="Arial"/>
                          <w:b/>
                          <w:sz w:val="48"/>
                        </w:rPr>
                        <w:t>EN</w:t>
                      </w:r>
                    </w:p>
                  </w:txbxContent>
                </v:textbox>
                <w10:wrap anchorx="page" anchory="page"/>
              </v:rect>
            </w:pict>
          </mc:Fallback>
        </mc:AlternateContent>
      </w:r>
    </w:p>
    <w:p w:rsidRPr="00FB73D2" w:rsidR="000C7D2B" w:rsidP="00461396" w:rsidRDefault="000C7D2B" w14:paraId="2D0C07DC" w14:textId="77777777">
      <w:pPr>
        <w:overflowPunct w:val="0"/>
        <w:jc w:val="center"/>
        <w:textAlignment w:val="auto"/>
        <w:rPr>
          <w:b/>
          <w:i/>
          <w:color w:val="auto"/>
        </w:rPr>
      </w:pPr>
    </w:p>
    <w:p w:rsidRPr="00FB73D2" w:rsidR="000C7D2B" w:rsidP="00461396" w:rsidRDefault="000C7D2B" w14:paraId="41964BAD" w14:textId="77777777">
      <w:pPr>
        <w:overflowPunct w:val="0"/>
        <w:textAlignment w:val="auto"/>
        <w:rPr>
          <w:color w:val="auto"/>
        </w:rPr>
      </w:pPr>
    </w:p>
    <w:p w:rsidRPr="00FB73D2" w:rsidR="000C7D2B" w:rsidP="00461396" w:rsidRDefault="000C7D2B" w14:paraId="3DE21400" w14:textId="77777777">
      <w:pPr>
        <w:overflowPunct w:val="0"/>
        <w:textAlignment w:val="auto"/>
        <w:rPr>
          <w:color w:val="auto"/>
        </w:rPr>
      </w:pPr>
    </w:p>
    <w:p w:rsidRPr="00FB73D2" w:rsidR="000C7D2B" w:rsidP="00461396" w:rsidRDefault="00620DAB" w14:paraId="252609E9" w14:textId="77777777">
      <w:pPr>
        <w:overflowPunct w:val="0"/>
        <w:jc w:val="right"/>
        <w:textAlignment w:val="auto"/>
        <w:rPr>
          <w:b/>
          <w:color w:val="auto"/>
        </w:rPr>
      </w:pPr>
      <w:r w:rsidRPr="00FB73D2">
        <w:rPr>
          <w:b/>
          <w:color w:val="auto"/>
        </w:rPr>
        <w:t>CCMI/172</w:t>
      </w:r>
    </w:p>
    <w:p w:rsidRPr="00FB73D2" w:rsidR="000C7D2B" w:rsidP="00461396" w:rsidRDefault="00620DAB" w14:paraId="3F56F52E" w14:textId="51A13305">
      <w:pPr>
        <w:overflowPunct w:val="0"/>
        <w:jc w:val="right"/>
        <w:textAlignment w:val="auto"/>
        <w:rPr>
          <w:color w:val="auto"/>
        </w:rPr>
      </w:pPr>
      <w:r w:rsidRPr="00FB73D2">
        <w:rPr>
          <w:b/>
          <w:color w:val="auto"/>
        </w:rPr>
        <w:t>Revision of the Machinery Directive</w:t>
      </w:r>
    </w:p>
    <w:p w:rsidRPr="00FB73D2" w:rsidR="000C7D2B" w:rsidP="00461396" w:rsidRDefault="000C7D2B" w14:paraId="0608AEC5" w14:textId="77777777">
      <w:pPr>
        <w:overflowPunct w:val="0"/>
        <w:textAlignment w:val="auto"/>
        <w:rPr>
          <w:color w:val="auto"/>
        </w:rPr>
      </w:pPr>
    </w:p>
    <w:p w:rsidRPr="00F2416C" w:rsidR="000C7D2B" w:rsidP="00461396" w:rsidRDefault="000C7D2B" w14:paraId="162572DE" w14:textId="77777777">
      <w:pPr>
        <w:overflowPunct w:val="0"/>
        <w:textAlignment w:val="auto"/>
      </w:pPr>
    </w:p>
    <w:p w:rsidR="000C7D2B" w:rsidP="00461396" w:rsidRDefault="00662EF4" w14:paraId="35EDF928" w14:textId="345A586E">
      <w:pPr>
        <w:overflowPunct w:val="0"/>
        <w:jc w:val="center"/>
        <w:textAlignment w:val="auto"/>
        <w:rPr>
          <w:b/>
        </w:rPr>
      </w:pPr>
      <w:r>
        <w:rPr>
          <w:b/>
          <w:sz w:val="32"/>
          <w:szCs w:val="32"/>
        </w:rPr>
        <w:t>INFORMATION REPORT</w:t>
      </w:r>
      <w:r w:rsidRPr="00CF293D" w:rsidR="00BD1CF7">
        <w:br/>
      </w:r>
      <w:r w:rsidRPr="00CF293D" w:rsidR="00BD1CF7">
        <w:br/>
      </w:r>
      <w:r w:rsidRPr="00F2416C" w:rsidR="00BD1CF7">
        <w:t>Consultative Commission on Industrial Change (CCMI)</w:t>
      </w:r>
      <w:r w:rsidRPr="00F2416C" w:rsidR="00BD1CF7">
        <w:br/>
      </w:r>
      <w:r w:rsidRPr="00F2416C" w:rsidR="00BD1CF7">
        <w:br/>
      </w:r>
      <w:r w:rsidRPr="00F2416C" w:rsidR="00EB2E7E">
        <w:rPr>
          <w:b/>
        </w:rPr>
        <w:t>Revis</w:t>
      </w:r>
      <w:r w:rsidRPr="00F2416C" w:rsidR="00F3394F">
        <w:rPr>
          <w:b/>
        </w:rPr>
        <w:t xml:space="preserve">ion of the Machinery Directive </w:t>
      </w:r>
    </w:p>
    <w:p w:rsidRPr="00662EF4" w:rsidR="00710344" w:rsidP="00461396" w:rsidRDefault="00710344" w14:paraId="49D6CC4F" w14:textId="77777777">
      <w:pPr>
        <w:overflowPunct w:val="0"/>
        <w:jc w:val="center"/>
        <w:textAlignment w:val="auto"/>
        <w:rPr>
          <w:b/>
        </w:rPr>
      </w:pPr>
    </w:p>
    <w:p w:rsidRPr="00115504" w:rsidR="000C7D2B" w:rsidP="00461396" w:rsidRDefault="00FB73D2" w14:paraId="057C4B80" w14:textId="5C156191">
      <w:pPr>
        <w:overflowPunct w:val="0"/>
        <w:jc w:val="center"/>
        <w:textAlignment w:val="auto"/>
        <w:rPr>
          <w:color w:val="auto"/>
          <w:lang w:val="fr-BE"/>
        </w:rPr>
      </w:pPr>
      <w:r w:rsidRPr="00115504">
        <w:rPr>
          <w:color w:val="auto"/>
          <w:lang w:val="fr-BE"/>
        </w:rPr>
        <w:t>Rapporteur:</w:t>
      </w:r>
      <w:r w:rsidRPr="00115504" w:rsidR="00BD1CF7">
        <w:rPr>
          <w:color w:val="auto"/>
          <w:lang w:val="fr-BE"/>
        </w:rPr>
        <w:t xml:space="preserve"> </w:t>
      </w:r>
      <w:r w:rsidRPr="00115504" w:rsidR="00BD1CF7">
        <w:rPr>
          <w:b/>
          <w:color w:val="auto"/>
          <w:lang w:val="fr-BE"/>
        </w:rPr>
        <w:t xml:space="preserve">Aurel Laurenţiu </w:t>
      </w:r>
      <w:r w:rsidRPr="00115504" w:rsidR="00443694">
        <w:rPr>
          <w:b/>
          <w:color w:val="auto"/>
          <w:lang w:val="fr-BE"/>
        </w:rPr>
        <w:t>PLOSCEANU</w:t>
      </w:r>
    </w:p>
    <w:p w:rsidRPr="00115504" w:rsidR="000C7D2B" w:rsidP="00461396" w:rsidRDefault="00BD1CF7" w14:paraId="0C692A6C" w14:textId="77777777">
      <w:pPr>
        <w:overflowPunct w:val="0"/>
        <w:jc w:val="center"/>
        <w:textAlignment w:val="auto"/>
        <w:rPr>
          <w:color w:val="auto"/>
        </w:rPr>
      </w:pPr>
      <w:r w:rsidRPr="00115504">
        <w:rPr>
          <w:color w:val="auto"/>
        </w:rPr>
        <w:t xml:space="preserve">Co-rapporteur: </w:t>
      </w:r>
      <w:r w:rsidRPr="00115504">
        <w:rPr>
          <w:b/>
          <w:color w:val="auto"/>
        </w:rPr>
        <w:t xml:space="preserve">Enrico </w:t>
      </w:r>
      <w:r w:rsidRPr="00115504" w:rsidR="00443694">
        <w:rPr>
          <w:b/>
          <w:color w:val="auto"/>
        </w:rPr>
        <w:t>GIBELLIERI</w:t>
      </w:r>
    </w:p>
    <w:p w:rsidRPr="00115504" w:rsidR="000C7D2B" w:rsidP="00461396" w:rsidRDefault="000C7D2B" w14:paraId="398D1833" w14:textId="77777777">
      <w:pPr>
        <w:overflowPunct w:val="0"/>
        <w:textAlignment w:val="auto"/>
        <w:rPr>
          <w:color w:val="auto"/>
        </w:rPr>
      </w:pPr>
    </w:p>
    <w:p w:rsidRPr="00FB73D2" w:rsidR="000C7D2B" w:rsidP="00461396" w:rsidRDefault="000C7D2B" w14:paraId="74E62162" w14:textId="77777777">
      <w:pPr>
        <w:overflowPunct w:val="0"/>
        <w:textAlignment w:val="auto"/>
        <w:rPr>
          <w:color w:val="auto"/>
        </w:rPr>
      </w:pPr>
    </w:p>
    <w:p w:rsidRPr="00FB73D2" w:rsidR="0030604B" w:rsidP="001445A7" w:rsidRDefault="0030604B" w14:paraId="4185288E" w14:textId="77777777">
      <w:pPr>
        <w:textAlignment w:val="auto"/>
        <w:rPr>
          <w:color w:val="auto"/>
        </w:rPr>
        <w:sectPr w:rsidRPr="00FB73D2" w:rsidR="0030604B" w:rsidSect="0071034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9" w:footer="709" w:gutter="0"/>
          <w:pgNumType w:start="1"/>
          <w:cols w:space="720"/>
          <w:formProt w:val="0"/>
          <w:docGrid w:linePitch="299" w:charSpace="-2049"/>
        </w:sectPr>
      </w:pPr>
    </w:p>
    <w:p w:rsidRPr="00FB73D2" w:rsidR="00BC54B9" w:rsidP="001445A7" w:rsidRDefault="00BC54B9" w14:paraId="2E9721B4" w14:textId="77777777">
      <w:pPr>
        <w:textAlignment w:val="auto"/>
        <w:rPr>
          <w:color w:val="auto"/>
        </w:rPr>
      </w:pPr>
    </w:p>
    <w:tbl>
      <w:tblPr>
        <w:tblW w:w="9322" w:type="dxa"/>
        <w:tblLook w:val="04A0" w:firstRow="1" w:lastRow="0" w:firstColumn="1" w:lastColumn="0" w:noHBand="0" w:noVBand="1"/>
      </w:tblPr>
      <w:tblGrid>
        <w:gridCol w:w="3053"/>
        <w:gridCol w:w="6269"/>
      </w:tblGrid>
      <w:tr w:rsidRPr="00FB73D2" w:rsidR="00FB73D2" w:rsidTr="00784F87" w14:paraId="3BD9282B" w14:textId="77777777">
        <w:tc>
          <w:tcPr>
            <w:tcW w:w="3053" w:type="dxa"/>
            <w:shd w:val="clear" w:color="auto" w:fill="auto"/>
          </w:tcPr>
          <w:p w:rsidRPr="00FB73D2" w:rsidR="00BC1DE3" w:rsidP="00461396" w:rsidRDefault="00BC1DE3" w14:paraId="76F4CEE1" w14:textId="77777777">
            <w:pPr>
              <w:overflowPunct w:val="0"/>
              <w:textAlignment w:val="auto"/>
              <w:rPr>
                <w:color w:val="auto"/>
                <w:szCs w:val="22"/>
              </w:rPr>
            </w:pPr>
            <w:r w:rsidRPr="00FB73D2">
              <w:rPr>
                <w:color w:val="auto"/>
              </w:rPr>
              <w:t>Plenary Assembly decision</w:t>
            </w:r>
          </w:p>
        </w:tc>
        <w:tc>
          <w:tcPr>
            <w:tcW w:w="6269" w:type="dxa"/>
            <w:shd w:val="clear" w:color="auto" w:fill="auto"/>
          </w:tcPr>
          <w:p w:rsidRPr="00FB73D2" w:rsidR="00BC1DE3" w:rsidP="00461396" w:rsidRDefault="00573B59" w14:paraId="28B17B6F" w14:textId="77777777">
            <w:pPr>
              <w:overflowPunct w:val="0"/>
              <w:textAlignment w:val="auto"/>
              <w:rPr>
                <w:color w:val="auto"/>
                <w:szCs w:val="22"/>
              </w:rPr>
            </w:pPr>
            <w:r w:rsidRPr="00FB73D2">
              <w:rPr>
                <w:color w:val="auto"/>
                <w:szCs w:val="22"/>
              </w:rPr>
              <w:t>22 January 2020</w:t>
            </w:r>
          </w:p>
        </w:tc>
      </w:tr>
      <w:tr w:rsidRPr="00FB73D2" w:rsidR="00FB73D2" w:rsidTr="00784F87" w14:paraId="32D55B50" w14:textId="77777777">
        <w:tc>
          <w:tcPr>
            <w:tcW w:w="3053" w:type="dxa"/>
            <w:shd w:val="clear" w:color="auto" w:fill="auto"/>
          </w:tcPr>
          <w:p w:rsidRPr="00FB73D2" w:rsidR="00BC1DE3" w:rsidP="00461396" w:rsidRDefault="00BC1DE3" w14:paraId="14E6C11B" w14:textId="77777777">
            <w:pPr>
              <w:overflowPunct w:val="0"/>
              <w:textAlignment w:val="auto"/>
              <w:rPr>
                <w:color w:val="auto"/>
                <w:szCs w:val="22"/>
              </w:rPr>
            </w:pPr>
            <w:r w:rsidRPr="00FB73D2">
              <w:rPr>
                <w:color w:val="auto"/>
              </w:rPr>
              <w:t>Legal basis</w:t>
            </w:r>
          </w:p>
        </w:tc>
        <w:tc>
          <w:tcPr>
            <w:tcW w:w="6269" w:type="dxa"/>
            <w:shd w:val="clear" w:color="auto" w:fill="auto"/>
          </w:tcPr>
          <w:p w:rsidRPr="00FB73D2" w:rsidR="00BC1DE3" w:rsidP="00461396" w:rsidRDefault="00BC1DE3" w14:paraId="738AE739" w14:textId="77777777">
            <w:pPr>
              <w:overflowPunct w:val="0"/>
              <w:textAlignment w:val="auto"/>
              <w:rPr>
                <w:color w:val="auto"/>
                <w:szCs w:val="22"/>
              </w:rPr>
            </w:pPr>
            <w:r w:rsidRPr="00FB73D2">
              <w:rPr>
                <w:color w:val="auto"/>
              </w:rPr>
              <w:t>Rule 31 of the Rules of Procedure</w:t>
            </w:r>
          </w:p>
        </w:tc>
      </w:tr>
      <w:tr w:rsidRPr="00FB73D2" w:rsidR="00FB73D2" w:rsidTr="00784F87" w14:paraId="20AE592C" w14:textId="77777777">
        <w:tc>
          <w:tcPr>
            <w:tcW w:w="3053" w:type="dxa"/>
            <w:shd w:val="clear" w:color="auto" w:fill="auto"/>
          </w:tcPr>
          <w:p w:rsidRPr="00FB73D2" w:rsidR="00BC1DE3" w:rsidP="00461396" w:rsidRDefault="00BC1DE3" w14:paraId="3E1CCB3A" w14:textId="77777777">
            <w:pPr>
              <w:overflowPunct w:val="0"/>
              <w:textAlignment w:val="auto"/>
              <w:rPr>
                <w:color w:val="auto"/>
                <w:szCs w:val="22"/>
              </w:rPr>
            </w:pPr>
          </w:p>
        </w:tc>
        <w:tc>
          <w:tcPr>
            <w:tcW w:w="6269" w:type="dxa"/>
            <w:shd w:val="clear" w:color="auto" w:fill="auto"/>
          </w:tcPr>
          <w:p w:rsidRPr="00FB73D2" w:rsidR="00BC1DE3" w:rsidP="00461396" w:rsidRDefault="00BC1DE3" w14:paraId="71AD4EA1" w14:textId="77777777">
            <w:pPr>
              <w:overflowPunct w:val="0"/>
              <w:textAlignment w:val="auto"/>
              <w:rPr>
                <w:color w:val="auto"/>
                <w:szCs w:val="22"/>
              </w:rPr>
            </w:pPr>
            <w:r w:rsidRPr="00FB73D2">
              <w:rPr>
                <w:color w:val="auto"/>
              </w:rPr>
              <w:t>Information report</w:t>
            </w:r>
          </w:p>
        </w:tc>
      </w:tr>
      <w:tr w:rsidRPr="00FB73D2" w:rsidR="00FB73D2" w:rsidTr="00784F87" w14:paraId="4105CF0F" w14:textId="77777777">
        <w:tc>
          <w:tcPr>
            <w:tcW w:w="3053" w:type="dxa"/>
            <w:shd w:val="clear" w:color="auto" w:fill="auto"/>
          </w:tcPr>
          <w:p w:rsidRPr="00FB73D2" w:rsidR="00BC1DE3" w:rsidP="00461396" w:rsidRDefault="00BC1DE3" w14:paraId="5B9FA900" w14:textId="77777777">
            <w:pPr>
              <w:overflowPunct w:val="0"/>
              <w:textAlignment w:val="auto"/>
              <w:rPr>
                <w:color w:val="auto"/>
                <w:szCs w:val="22"/>
              </w:rPr>
            </w:pPr>
          </w:p>
        </w:tc>
        <w:tc>
          <w:tcPr>
            <w:tcW w:w="6269" w:type="dxa"/>
            <w:shd w:val="clear" w:color="auto" w:fill="auto"/>
          </w:tcPr>
          <w:p w:rsidRPr="00FB73D2" w:rsidR="00BC1DE3" w:rsidP="00461396" w:rsidRDefault="00BC1DE3" w14:paraId="172351CC" w14:textId="77777777">
            <w:pPr>
              <w:overflowPunct w:val="0"/>
              <w:textAlignment w:val="auto"/>
              <w:rPr>
                <w:color w:val="auto"/>
                <w:szCs w:val="22"/>
              </w:rPr>
            </w:pPr>
          </w:p>
        </w:tc>
      </w:tr>
      <w:tr w:rsidRPr="00FB73D2" w:rsidR="00FB73D2" w:rsidTr="00784F87" w14:paraId="2DB7F595" w14:textId="77777777">
        <w:tc>
          <w:tcPr>
            <w:tcW w:w="3053" w:type="dxa"/>
            <w:shd w:val="clear" w:color="auto" w:fill="auto"/>
          </w:tcPr>
          <w:p w:rsidRPr="00FB73D2" w:rsidR="00BC1DE3" w:rsidP="00461396" w:rsidRDefault="00BC1DE3" w14:paraId="16E54506" w14:textId="77777777">
            <w:pPr>
              <w:overflowPunct w:val="0"/>
              <w:textAlignment w:val="auto"/>
              <w:rPr>
                <w:color w:val="auto"/>
                <w:szCs w:val="22"/>
              </w:rPr>
            </w:pPr>
            <w:r w:rsidRPr="00FB73D2">
              <w:rPr>
                <w:color w:val="auto"/>
              </w:rPr>
              <w:t>Body responsible</w:t>
            </w:r>
          </w:p>
        </w:tc>
        <w:tc>
          <w:tcPr>
            <w:tcW w:w="6269" w:type="dxa"/>
            <w:shd w:val="clear" w:color="auto" w:fill="auto"/>
          </w:tcPr>
          <w:p w:rsidRPr="00FB73D2" w:rsidR="00BC1DE3" w:rsidP="00461396" w:rsidRDefault="00BC1DE3" w14:paraId="7495B119" w14:textId="77777777">
            <w:pPr>
              <w:overflowPunct w:val="0"/>
              <w:textAlignment w:val="auto"/>
              <w:rPr>
                <w:color w:val="auto"/>
                <w:szCs w:val="22"/>
              </w:rPr>
            </w:pPr>
            <w:r w:rsidRPr="00FB73D2">
              <w:rPr>
                <w:color w:val="auto"/>
              </w:rPr>
              <w:t>Consultative Commission on Industrial Change (CCMI)</w:t>
            </w:r>
          </w:p>
        </w:tc>
      </w:tr>
      <w:tr w:rsidRPr="00FB73D2" w:rsidR="00FB73D2" w:rsidTr="00784F87" w14:paraId="29369397" w14:textId="77777777">
        <w:tc>
          <w:tcPr>
            <w:tcW w:w="3053" w:type="dxa"/>
            <w:shd w:val="clear" w:color="auto" w:fill="auto"/>
          </w:tcPr>
          <w:p w:rsidRPr="00FB73D2" w:rsidR="00BC1DE3" w:rsidP="00461396" w:rsidRDefault="00BC1DE3" w14:paraId="05552562" w14:textId="77777777">
            <w:pPr>
              <w:overflowPunct w:val="0"/>
              <w:textAlignment w:val="auto"/>
              <w:rPr>
                <w:color w:val="auto"/>
                <w:szCs w:val="22"/>
              </w:rPr>
            </w:pPr>
            <w:r w:rsidRPr="00FB73D2">
              <w:rPr>
                <w:color w:val="auto"/>
              </w:rPr>
              <w:t>Adopted in CCMI</w:t>
            </w:r>
          </w:p>
        </w:tc>
        <w:tc>
          <w:tcPr>
            <w:tcW w:w="6269" w:type="dxa"/>
            <w:shd w:val="clear" w:color="auto" w:fill="auto"/>
          </w:tcPr>
          <w:p w:rsidRPr="00FB73D2" w:rsidR="00BC1DE3" w:rsidP="00461396" w:rsidRDefault="00AE18AF" w14:paraId="2E87C252" w14:textId="73E67401">
            <w:pPr>
              <w:overflowPunct w:val="0"/>
              <w:textAlignment w:val="auto"/>
              <w:rPr>
                <w:color w:val="auto"/>
                <w:szCs w:val="22"/>
              </w:rPr>
            </w:pPr>
            <w:r>
              <w:rPr>
                <w:color w:val="auto"/>
              </w:rPr>
              <w:t>24</w:t>
            </w:r>
            <w:r w:rsidRPr="00FB73D2" w:rsidR="00BC1DE3">
              <w:rPr>
                <w:color w:val="auto"/>
              </w:rPr>
              <w:t>/</w:t>
            </w:r>
            <w:r>
              <w:rPr>
                <w:color w:val="auto"/>
              </w:rPr>
              <w:t>02</w:t>
            </w:r>
            <w:r w:rsidRPr="00FB73D2" w:rsidR="00BC1DE3">
              <w:rPr>
                <w:color w:val="auto"/>
              </w:rPr>
              <w:t>/</w:t>
            </w:r>
            <w:r>
              <w:rPr>
                <w:color w:val="auto"/>
              </w:rPr>
              <w:t>2020</w:t>
            </w:r>
          </w:p>
        </w:tc>
      </w:tr>
      <w:tr w:rsidRPr="00FB73D2" w:rsidR="00FB73D2" w:rsidTr="00784F87" w14:paraId="0D251C94" w14:textId="77777777">
        <w:tc>
          <w:tcPr>
            <w:tcW w:w="3053" w:type="dxa"/>
            <w:shd w:val="clear" w:color="auto" w:fill="auto"/>
          </w:tcPr>
          <w:p w:rsidRPr="00FB73D2" w:rsidR="00BC1DE3" w:rsidP="00461396" w:rsidRDefault="00BC1DE3" w14:paraId="2DC8CC7E" w14:textId="77777777">
            <w:pPr>
              <w:overflowPunct w:val="0"/>
              <w:textAlignment w:val="auto"/>
              <w:rPr>
                <w:color w:val="auto"/>
                <w:szCs w:val="22"/>
              </w:rPr>
            </w:pPr>
            <w:r w:rsidRPr="00FB73D2">
              <w:rPr>
                <w:color w:val="auto"/>
              </w:rPr>
              <w:t>Adopted at plenary</w:t>
            </w:r>
          </w:p>
        </w:tc>
        <w:tc>
          <w:tcPr>
            <w:tcW w:w="6269" w:type="dxa"/>
            <w:shd w:val="clear" w:color="auto" w:fill="auto"/>
          </w:tcPr>
          <w:p w:rsidRPr="00FB73D2" w:rsidR="00BC1DE3" w:rsidP="00461396" w:rsidRDefault="003E4EFE" w14:paraId="0B59BFF0" w14:textId="2CB0104B">
            <w:pPr>
              <w:overflowPunct w:val="0"/>
              <w:textAlignment w:val="auto"/>
              <w:rPr>
                <w:color w:val="auto"/>
                <w:szCs w:val="22"/>
              </w:rPr>
            </w:pPr>
            <w:r>
              <w:rPr>
                <w:color w:val="auto"/>
                <w:lang w:val="cs-CZ"/>
              </w:rPr>
              <w:t>10</w:t>
            </w:r>
            <w:r w:rsidRPr="00FB73D2" w:rsidR="00BC1DE3">
              <w:rPr>
                <w:color w:val="auto"/>
              </w:rPr>
              <w:t>/</w:t>
            </w:r>
            <w:r>
              <w:rPr>
                <w:color w:val="auto"/>
              </w:rPr>
              <w:t>06</w:t>
            </w:r>
            <w:r w:rsidRPr="00FB73D2" w:rsidR="00BC1DE3">
              <w:rPr>
                <w:color w:val="auto"/>
              </w:rPr>
              <w:t>/</w:t>
            </w:r>
            <w:r>
              <w:rPr>
                <w:color w:val="auto"/>
              </w:rPr>
              <w:t>2020</w:t>
            </w:r>
          </w:p>
        </w:tc>
      </w:tr>
      <w:tr w:rsidRPr="00FB73D2" w:rsidR="00FB73D2" w:rsidTr="00784F87" w14:paraId="5603A845" w14:textId="77777777">
        <w:tc>
          <w:tcPr>
            <w:tcW w:w="3053" w:type="dxa"/>
            <w:shd w:val="clear" w:color="auto" w:fill="auto"/>
          </w:tcPr>
          <w:p w:rsidRPr="00FB73D2" w:rsidR="00BC1DE3" w:rsidP="00461396" w:rsidRDefault="00BC1DE3" w14:paraId="63C60AB1" w14:textId="77777777">
            <w:pPr>
              <w:overflowPunct w:val="0"/>
              <w:textAlignment w:val="auto"/>
              <w:rPr>
                <w:color w:val="auto"/>
                <w:szCs w:val="22"/>
              </w:rPr>
            </w:pPr>
            <w:r w:rsidRPr="00FB73D2">
              <w:rPr>
                <w:color w:val="auto"/>
              </w:rPr>
              <w:t>Plenary session No</w:t>
            </w:r>
          </w:p>
        </w:tc>
        <w:tc>
          <w:tcPr>
            <w:tcW w:w="6269" w:type="dxa"/>
            <w:shd w:val="clear" w:color="auto" w:fill="auto"/>
          </w:tcPr>
          <w:p w:rsidRPr="00FB73D2" w:rsidR="00BC1DE3" w:rsidP="00461396" w:rsidRDefault="003E4EFE" w14:paraId="3F951998" w14:textId="796DCFEE">
            <w:pPr>
              <w:overflowPunct w:val="0"/>
              <w:textAlignment w:val="auto"/>
              <w:rPr>
                <w:color w:val="auto"/>
                <w:szCs w:val="22"/>
              </w:rPr>
            </w:pPr>
            <w:r>
              <w:rPr>
                <w:color w:val="auto"/>
              </w:rPr>
              <w:t>552</w:t>
            </w:r>
          </w:p>
        </w:tc>
      </w:tr>
      <w:tr w:rsidRPr="00FB73D2" w:rsidR="00FB73D2" w:rsidTr="00784F87" w14:paraId="4DFEDC95" w14:textId="77777777">
        <w:tc>
          <w:tcPr>
            <w:tcW w:w="3053" w:type="dxa"/>
            <w:shd w:val="clear" w:color="auto" w:fill="auto"/>
          </w:tcPr>
          <w:p w:rsidRPr="00FB73D2" w:rsidR="00BC1DE3" w:rsidP="00461396" w:rsidRDefault="00BC1DE3" w14:paraId="655B46EA" w14:textId="77777777">
            <w:pPr>
              <w:overflowPunct w:val="0"/>
              <w:textAlignment w:val="auto"/>
              <w:rPr>
                <w:color w:val="auto"/>
                <w:szCs w:val="22"/>
              </w:rPr>
            </w:pPr>
            <w:r w:rsidRPr="00FB73D2">
              <w:rPr>
                <w:color w:val="auto"/>
              </w:rPr>
              <w:t>Outcome of vote</w:t>
            </w:r>
            <w:r w:rsidRPr="00FB73D2">
              <w:rPr>
                <w:color w:val="auto"/>
              </w:rPr>
              <w:br/>
              <w:t>(for/against/abstentions)</w:t>
            </w:r>
          </w:p>
        </w:tc>
        <w:tc>
          <w:tcPr>
            <w:tcW w:w="6269" w:type="dxa"/>
            <w:shd w:val="clear" w:color="auto" w:fill="auto"/>
            <w:vAlign w:val="bottom"/>
          </w:tcPr>
          <w:p w:rsidRPr="00FB73D2" w:rsidR="00BC1DE3" w:rsidP="00461396" w:rsidRDefault="008A6BF3" w14:paraId="79BC75C4" w14:textId="15E40040">
            <w:pPr>
              <w:overflowPunct w:val="0"/>
              <w:textAlignment w:val="auto"/>
              <w:rPr>
                <w:color w:val="auto"/>
                <w:szCs w:val="22"/>
              </w:rPr>
            </w:pPr>
            <w:r>
              <w:rPr>
                <w:color w:val="auto"/>
              </w:rPr>
              <w:t>208</w:t>
            </w:r>
            <w:r w:rsidRPr="00FB73D2" w:rsidR="00BC1DE3">
              <w:rPr>
                <w:color w:val="auto"/>
              </w:rPr>
              <w:t>/</w:t>
            </w:r>
            <w:r>
              <w:rPr>
                <w:color w:val="auto"/>
              </w:rPr>
              <w:t>0</w:t>
            </w:r>
            <w:r w:rsidRPr="00FB73D2" w:rsidR="00BC1DE3">
              <w:rPr>
                <w:color w:val="auto"/>
              </w:rPr>
              <w:t>/</w:t>
            </w:r>
            <w:r>
              <w:rPr>
                <w:color w:val="auto"/>
              </w:rPr>
              <w:t>6</w:t>
            </w:r>
          </w:p>
        </w:tc>
      </w:tr>
    </w:tbl>
    <w:p w:rsidRPr="00FB73D2" w:rsidR="000C7D2B" w:rsidP="00461396" w:rsidRDefault="00BD1CF7" w14:paraId="45612E0C" w14:textId="77777777">
      <w:pPr>
        <w:overflowPunct w:val="0"/>
        <w:textAlignment w:val="auto"/>
        <w:rPr>
          <w:color w:val="auto"/>
        </w:rPr>
      </w:pPr>
      <w:r w:rsidRPr="00FB73D2">
        <w:rPr>
          <w:color w:val="auto"/>
        </w:rPr>
        <w:fldChar w:fldCharType="begin"/>
      </w:r>
      <w:bookmarkStart w:name="__Fieldmark__71_169874684" w:id="1"/>
      <w:bookmarkEnd w:id="1"/>
      <w:r w:rsidRPr="00FB73D2">
        <w:rPr>
          <w:color w:val="auto"/>
        </w:rPr>
        <w:fldChar w:fldCharType="end"/>
      </w:r>
    </w:p>
    <w:p w:rsidRPr="00FB73D2" w:rsidR="000C7D2B" w:rsidP="00461396" w:rsidRDefault="00BD1CF7" w14:paraId="3C306E1B" w14:textId="77777777">
      <w:pPr>
        <w:overflowPunct w:val="0"/>
        <w:textAlignment w:val="auto"/>
        <w:rPr>
          <w:color w:val="auto"/>
        </w:rPr>
      </w:pPr>
      <w:r w:rsidRPr="00FB73D2">
        <w:rPr>
          <w:color w:val="auto"/>
        </w:rPr>
        <w:br w:type="page"/>
      </w:r>
    </w:p>
    <w:p w:rsidRPr="00FB73D2" w:rsidR="004C62E1" w:rsidP="004C62E1" w:rsidRDefault="004C62E1" w14:paraId="28FCE34B" w14:textId="77777777">
      <w:pPr>
        <w:pStyle w:val="Heading1"/>
        <w:keepNext/>
        <w:numPr>
          <w:ilvl w:val="0"/>
          <w:numId w:val="47"/>
        </w:numPr>
        <w:ind w:left="567" w:hanging="567"/>
        <w:textAlignment w:val="auto"/>
        <w:rPr>
          <w:b/>
          <w:color w:val="auto"/>
        </w:rPr>
      </w:pPr>
      <w:bookmarkStart w:name="_Hlk31707413" w:id="2"/>
      <w:r w:rsidRPr="00FB73D2">
        <w:rPr>
          <w:b/>
          <w:color w:val="auto"/>
        </w:rPr>
        <w:t>Conclusions and recommendations</w:t>
      </w:r>
    </w:p>
    <w:p w:rsidRPr="00FB73D2" w:rsidR="004C62E1" w:rsidP="004C62E1" w:rsidRDefault="004C62E1" w14:paraId="08A873CA" w14:textId="77777777">
      <w:pPr>
        <w:keepNext/>
        <w:keepLines/>
        <w:rPr>
          <w:color w:val="auto"/>
        </w:rPr>
      </w:pPr>
    </w:p>
    <w:p w:rsidRPr="00115504" w:rsidR="00A3454A" w:rsidP="00AB7CED" w:rsidRDefault="00565D13" w14:paraId="7045FFB9" w14:textId="4450B663">
      <w:pPr>
        <w:pStyle w:val="Heading2"/>
        <w:numPr>
          <w:ilvl w:val="1"/>
          <w:numId w:val="47"/>
        </w:numPr>
        <w:textAlignment w:val="auto"/>
      </w:pPr>
      <w:r w:rsidRPr="00FB73D2">
        <w:rPr>
          <w:color w:val="auto"/>
        </w:rPr>
        <w:t>The EESC</w:t>
      </w:r>
      <w:r w:rsidRPr="00FB73D2" w:rsidR="008565F6">
        <w:rPr>
          <w:color w:val="auto"/>
        </w:rPr>
        <w:t xml:space="preserve"> </w:t>
      </w:r>
      <w:r w:rsidRPr="00FB73D2" w:rsidR="00931337">
        <w:rPr>
          <w:color w:val="auto"/>
        </w:rPr>
        <w:t xml:space="preserve">welcomes </w:t>
      </w:r>
      <w:r w:rsidRPr="00FB73D2" w:rsidR="008565F6">
        <w:rPr>
          <w:color w:val="auto"/>
        </w:rPr>
        <w:t xml:space="preserve">the </w:t>
      </w:r>
      <w:r w:rsidR="003502C6">
        <w:rPr>
          <w:color w:val="auto"/>
        </w:rPr>
        <w:t xml:space="preserve">Commission's </w:t>
      </w:r>
      <w:r w:rsidRPr="00FB73D2" w:rsidR="008565F6">
        <w:rPr>
          <w:color w:val="auto"/>
        </w:rPr>
        <w:t xml:space="preserve">current efforts to </w:t>
      </w:r>
      <w:r w:rsidRPr="00FB73D2" w:rsidR="0010796C">
        <w:rPr>
          <w:color w:val="auto"/>
        </w:rPr>
        <w:t>analyse</w:t>
      </w:r>
      <w:r w:rsidRPr="00FB73D2" w:rsidR="00A8097C">
        <w:rPr>
          <w:color w:val="auto"/>
        </w:rPr>
        <w:t xml:space="preserve"> and possibly improve the performance of</w:t>
      </w:r>
      <w:r w:rsidRPr="00FB73D2" w:rsidR="008565F6">
        <w:rPr>
          <w:color w:val="auto"/>
        </w:rPr>
        <w:t xml:space="preserve"> the Machinery Directive 2006/42/EC</w:t>
      </w:r>
      <w:r w:rsidR="00274202">
        <w:rPr>
          <w:color w:val="auto"/>
        </w:rPr>
        <w:t xml:space="preserve"> </w:t>
      </w:r>
      <w:r w:rsidRPr="00FB73D2" w:rsidR="00EE7A47">
        <w:rPr>
          <w:color w:val="auto"/>
        </w:rPr>
        <w:t xml:space="preserve">as part of </w:t>
      </w:r>
      <w:r w:rsidR="00AF4B5D">
        <w:rPr>
          <w:color w:val="auto"/>
        </w:rPr>
        <w:t>its</w:t>
      </w:r>
      <w:r w:rsidRPr="00FB73D2" w:rsidR="00AF4B5D">
        <w:rPr>
          <w:color w:val="auto"/>
        </w:rPr>
        <w:t xml:space="preserve"> </w:t>
      </w:r>
      <w:r w:rsidRPr="00FB73D2" w:rsidR="00EE7A47">
        <w:rPr>
          <w:color w:val="auto"/>
        </w:rPr>
        <w:t>regulatory fitness and performance (REFIT) programme.</w:t>
      </w:r>
      <w:r w:rsidRPr="006D4CA8" w:rsidDel="006D4CA8" w:rsidR="006D4CA8">
        <w:rPr>
          <w:color w:val="auto"/>
        </w:rPr>
        <w:t xml:space="preserve"> </w:t>
      </w:r>
      <w:r w:rsidRPr="00115504" w:rsidR="006D4CA8">
        <w:t>The EESC consider that the Machinery Directive is a very important and successful instrument for European industry, and its basic approach must be left unchanged. While EESC agree some changes are needed</w:t>
      </w:r>
      <w:r w:rsidRPr="00115504" w:rsidR="00557493">
        <w:t>,</w:t>
      </w:r>
      <w:r w:rsidRPr="00115504" w:rsidR="006D4CA8">
        <w:t xml:space="preserve"> </w:t>
      </w:r>
      <w:r w:rsidRPr="00115504" w:rsidR="00557493">
        <w:t>massive changes of the Machinery Directive</w:t>
      </w:r>
      <w:r w:rsidRPr="00115504" w:rsidR="00752A53">
        <w:t>,</w:t>
      </w:r>
      <w:r w:rsidRPr="00115504" w:rsidR="00557493">
        <w:t xml:space="preserve"> in particular to</w:t>
      </w:r>
      <w:r w:rsidRPr="00115504" w:rsidR="00752A53">
        <w:t xml:space="preserve"> the Essential Health and Safety Requirements (EHSRs) in</w:t>
      </w:r>
      <w:r w:rsidRPr="00115504" w:rsidR="00557493">
        <w:t xml:space="preserve"> Annex I, would have a deep negative impact on the work of developing needed </w:t>
      </w:r>
      <w:r w:rsidRPr="00115504" w:rsidR="008C4D39">
        <w:t xml:space="preserve">harmonised </w:t>
      </w:r>
      <w:r w:rsidRPr="00115504" w:rsidR="00557493">
        <w:t>standards and must be avoided.</w:t>
      </w:r>
    </w:p>
    <w:p w:rsidRPr="00BE340E" w:rsidR="00A3454A" w:rsidP="00BE340E" w:rsidRDefault="00A3454A" w14:paraId="6771D18C" w14:textId="77777777"/>
    <w:p w:rsidRPr="00A3454A" w:rsidR="00AB7CED" w:rsidRDefault="00966C47" w14:paraId="416EC10F" w14:textId="4A13ACF4">
      <w:pPr>
        <w:pStyle w:val="Heading2"/>
        <w:numPr>
          <w:ilvl w:val="1"/>
          <w:numId w:val="47"/>
        </w:numPr>
        <w:textAlignment w:val="auto"/>
        <w:rPr>
          <w:color w:val="auto"/>
        </w:rPr>
      </w:pPr>
      <w:r w:rsidRPr="00A3454A">
        <w:rPr>
          <w:color w:val="auto"/>
        </w:rPr>
        <w:t xml:space="preserve">The EESC is </w:t>
      </w:r>
      <w:r w:rsidRPr="00A3454A" w:rsidR="00931337">
        <w:rPr>
          <w:color w:val="auto"/>
        </w:rPr>
        <w:t>aware</w:t>
      </w:r>
      <w:r w:rsidRPr="00A3454A" w:rsidR="00AB7CED">
        <w:rPr>
          <w:color w:val="auto"/>
        </w:rPr>
        <w:t xml:space="preserve"> of the pressure </w:t>
      </w:r>
      <w:r w:rsidRPr="00A3454A" w:rsidR="003502C6">
        <w:rPr>
          <w:color w:val="auto"/>
        </w:rPr>
        <w:t xml:space="preserve">being </w:t>
      </w:r>
      <w:r w:rsidRPr="00A3454A" w:rsidR="00AB7CED">
        <w:rPr>
          <w:color w:val="auto"/>
        </w:rPr>
        <w:t xml:space="preserve">exerted by some experts </w:t>
      </w:r>
      <w:r w:rsidRPr="00A3454A" w:rsidR="003502C6">
        <w:rPr>
          <w:color w:val="auto"/>
        </w:rPr>
        <w:t xml:space="preserve">who are </w:t>
      </w:r>
      <w:r w:rsidRPr="00A3454A" w:rsidR="00AB7CED">
        <w:rPr>
          <w:color w:val="auto"/>
        </w:rPr>
        <w:t xml:space="preserve">convinced that the Machinery Directive needs updating because of the challenges arising from progress in digital technologies, and </w:t>
      </w:r>
      <w:r w:rsidRPr="00A3454A" w:rsidR="00931337">
        <w:rPr>
          <w:color w:val="auto"/>
        </w:rPr>
        <w:t xml:space="preserve">calls on </w:t>
      </w:r>
      <w:r w:rsidRPr="00A3454A" w:rsidR="00AB7CED">
        <w:rPr>
          <w:color w:val="auto"/>
        </w:rPr>
        <w:t xml:space="preserve">the Commission to acquire </w:t>
      </w:r>
      <w:r w:rsidRPr="00A3454A">
        <w:rPr>
          <w:color w:val="auto"/>
        </w:rPr>
        <w:t xml:space="preserve">and share </w:t>
      </w:r>
      <w:r w:rsidRPr="00A3454A" w:rsidR="00AB7CED">
        <w:rPr>
          <w:color w:val="auto"/>
        </w:rPr>
        <w:t xml:space="preserve">the </w:t>
      </w:r>
      <w:r w:rsidRPr="00A3454A">
        <w:rPr>
          <w:color w:val="auto"/>
        </w:rPr>
        <w:t>factual arguments</w:t>
      </w:r>
      <w:r w:rsidRPr="00A3454A" w:rsidR="00AB7CED">
        <w:rPr>
          <w:color w:val="auto"/>
        </w:rPr>
        <w:t xml:space="preserve"> that could justify the necessity to do so</w:t>
      </w:r>
      <w:r w:rsidRPr="00A3454A" w:rsidR="005A29EA">
        <w:rPr>
          <w:color w:val="auto"/>
        </w:rPr>
        <w:t xml:space="preserve">. </w:t>
      </w:r>
      <w:r w:rsidRPr="00F2416C" w:rsidR="005A29EA">
        <w:t>The EESC is aware of the different opinions of stakeholders shared during the meeting of the European Parliament Internal Market and Consumer Protection Committee (IMCO) that took place on the 4 December 2019 in Brussels.</w:t>
      </w:r>
      <w:r w:rsidRPr="00A3454A" w:rsidR="005A29EA">
        <w:rPr>
          <w:color w:val="auto"/>
        </w:rPr>
        <w:t xml:space="preserve"> This IMCO meeting showed diversity of views on issues connected to new technologies which seem to suggest that state of the technology is not sufficiently developed to the point where specific proposals could be made supported by a substantial body of evidence other than issues with cyber security (see point 1.</w:t>
      </w:r>
      <w:r w:rsidRPr="00A3454A" w:rsidR="00A91B09">
        <w:rPr>
          <w:color w:val="auto"/>
        </w:rPr>
        <w:t>3</w:t>
      </w:r>
      <w:r w:rsidRPr="00A3454A" w:rsidR="005A29EA">
        <w:rPr>
          <w:color w:val="auto"/>
        </w:rPr>
        <w:t>).</w:t>
      </w:r>
    </w:p>
    <w:p w:rsidRPr="00D67713" w:rsidR="00D67713" w:rsidP="00D67713" w:rsidRDefault="00D67713" w14:paraId="50F12A86" w14:textId="77777777">
      <w:pPr>
        <w:pStyle w:val="Heading2"/>
        <w:numPr>
          <w:ilvl w:val="0"/>
          <w:numId w:val="0"/>
        </w:numPr>
        <w:ind w:left="576"/>
        <w:textAlignment w:val="auto"/>
        <w:rPr>
          <w:color w:val="auto"/>
        </w:rPr>
      </w:pPr>
    </w:p>
    <w:p w:rsidR="005A29EA" w:rsidP="004C5291" w:rsidRDefault="005A29EA" w14:paraId="6E70613B" w14:textId="12368D72">
      <w:pPr>
        <w:pStyle w:val="Heading2"/>
        <w:numPr>
          <w:ilvl w:val="1"/>
          <w:numId w:val="47"/>
        </w:numPr>
        <w:textAlignment w:val="auto"/>
        <w:rPr>
          <w:color w:val="auto"/>
        </w:rPr>
      </w:pPr>
      <w:r w:rsidRPr="00322CF8">
        <w:rPr>
          <w:color w:val="auto"/>
        </w:rPr>
        <w:t xml:space="preserve">The EESC </w:t>
      </w:r>
      <w:r w:rsidRPr="00322CF8" w:rsidR="00931337">
        <w:rPr>
          <w:color w:val="auto"/>
        </w:rPr>
        <w:t>endorses</w:t>
      </w:r>
      <w:r w:rsidRPr="00322CF8">
        <w:rPr>
          <w:color w:val="auto"/>
        </w:rPr>
        <w:t xml:space="preserve"> the European Commission</w:t>
      </w:r>
      <w:r>
        <w:rPr>
          <w:color w:val="auto"/>
        </w:rPr>
        <w:t>'</w:t>
      </w:r>
      <w:r w:rsidRPr="00322CF8">
        <w:rPr>
          <w:color w:val="auto"/>
        </w:rPr>
        <w:t xml:space="preserve">s opinion that there is a risk of malicious or accidental operation of machinery connected to the </w:t>
      </w:r>
      <w:r>
        <w:rPr>
          <w:color w:val="auto"/>
        </w:rPr>
        <w:t>I</w:t>
      </w:r>
      <w:r w:rsidRPr="00322CF8">
        <w:rPr>
          <w:color w:val="auto"/>
        </w:rPr>
        <w:t>nternet. This is a general risk that can affect a wide range of equipment and apparatus and is not specific to machinery.</w:t>
      </w:r>
      <w:r w:rsidR="00AE6F25">
        <w:rPr>
          <w:color w:val="auto"/>
        </w:rPr>
        <w:t xml:space="preserve"> </w:t>
      </w:r>
      <w:r w:rsidRPr="00115504" w:rsidR="00AE6F25">
        <w:t>Also, cybersecurity is an issue involving several actors and its control does not only depend on machine manufacturers.</w:t>
      </w:r>
      <w:r w:rsidRPr="00115504">
        <w:t xml:space="preserve"> </w:t>
      </w:r>
      <w:r w:rsidRPr="00322CF8">
        <w:rPr>
          <w:color w:val="auto"/>
        </w:rPr>
        <w:t xml:space="preserve">The EESC </w:t>
      </w:r>
      <w:r w:rsidRPr="00322CF8" w:rsidR="00931337">
        <w:rPr>
          <w:color w:val="auto"/>
        </w:rPr>
        <w:t>recommends</w:t>
      </w:r>
      <w:r w:rsidRPr="00322CF8">
        <w:rPr>
          <w:color w:val="auto"/>
        </w:rPr>
        <w:t xml:space="preserve"> that the issue of cybersecurity be dealt with in a separate horizontal item of legislation, </w:t>
      </w:r>
      <w:r>
        <w:rPr>
          <w:color w:val="auto"/>
        </w:rPr>
        <w:t>including</w:t>
      </w:r>
      <w:r w:rsidRPr="00322CF8">
        <w:rPr>
          <w:color w:val="auto"/>
        </w:rPr>
        <w:t xml:space="preserve"> a reference to it in the revised Machinery Directive. </w:t>
      </w:r>
      <w:r w:rsidRPr="00082602">
        <w:rPr>
          <w:color w:val="auto"/>
        </w:rPr>
        <w:t xml:space="preserve">The EESC </w:t>
      </w:r>
      <w:r w:rsidRPr="00082602" w:rsidR="00931337">
        <w:rPr>
          <w:color w:val="auto"/>
        </w:rPr>
        <w:t>recommends</w:t>
      </w:r>
      <w:r w:rsidRPr="00082602">
        <w:rPr>
          <w:color w:val="auto"/>
        </w:rPr>
        <w:t xml:space="preserve"> clarifying</w:t>
      </w:r>
      <w:r>
        <w:rPr>
          <w:color w:val="auto"/>
        </w:rPr>
        <w:t>, however,</w:t>
      </w:r>
      <w:r w:rsidRPr="00082602">
        <w:rPr>
          <w:color w:val="auto"/>
        </w:rPr>
        <w:t xml:space="preserve"> that the </w:t>
      </w:r>
      <w:r>
        <w:rPr>
          <w:color w:val="auto"/>
        </w:rPr>
        <w:t>"</w:t>
      </w:r>
      <w:r w:rsidRPr="00082602">
        <w:rPr>
          <w:color w:val="auto"/>
        </w:rPr>
        <w:t>external influences</w:t>
      </w:r>
      <w:r>
        <w:rPr>
          <w:color w:val="auto"/>
        </w:rPr>
        <w:t xml:space="preserve">" </w:t>
      </w:r>
      <w:r w:rsidRPr="00082602">
        <w:rPr>
          <w:color w:val="auto"/>
        </w:rPr>
        <w:t>specified in Annex I, §1.2.1</w:t>
      </w:r>
      <w:r>
        <w:rPr>
          <w:color w:val="auto"/>
        </w:rPr>
        <w:t>,</w:t>
      </w:r>
      <w:r w:rsidRPr="00082602">
        <w:rPr>
          <w:color w:val="auto"/>
        </w:rPr>
        <w:t xml:space="preserve"> </w:t>
      </w:r>
      <w:r>
        <w:rPr>
          <w:color w:val="auto"/>
        </w:rPr>
        <w:t>which</w:t>
      </w:r>
      <w:r w:rsidRPr="00082602">
        <w:rPr>
          <w:color w:val="auto"/>
        </w:rPr>
        <w:t xml:space="preserve"> the control system must withstand, </w:t>
      </w:r>
      <w:r w:rsidR="00AE6F25">
        <w:rPr>
          <w:color w:val="auto"/>
        </w:rPr>
        <w:t xml:space="preserve">is amended to specifically </w:t>
      </w:r>
      <w:r w:rsidRPr="00082602">
        <w:rPr>
          <w:color w:val="auto"/>
        </w:rPr>
        <w:t>include cyber-attacks.</w:t>
      </w:r>
    </w:p>
    <w:p w:rsidRPr="00BE340E" w:rsidR="00A3454A" w:rsidP="00BE340E" w:rsidRDefault="00A3454A" w14:paraId="1DC46CC6" w14:textId="77777777"/>
    <w:p w:rsidR="00343754" w:rsidP="004C5291" w:rsidRDefault="00343754" w14:paraId="4EF93ADC" w14:textId="339F0028">
      <w:pPr>
        <w:pStyle w:val="Heading2"/>
        <w:numPr>
          <w:ilvl w:val="1"/>
          <w:numId w:val="47"/>
        </w:numPr>
        <w:textAlignment w:val="auto"/>
        <w:rPr>
          <w:color w:val="auto"/>
        </w:rPr>
      </w:pPr>
      <w:r w:rsidRPr="00115504">
        <w:t xml:space="preserve">The EESC </w:t>
      </w:r>
      <w:r w:rsidRPr="00115504" w:rsidR="00931337">
        <w:t xml:space="preserve">points out </w:t>
      </w:r>
      <w:r w:rsidRPr="00115504">
        <w:t>that</w:t>
      </w:r>
      <w:r w:rsidRPr="00115504" w:rsidR="00D4610F">
        <w:t>,</w:t>
      </w:r>
      <w:r w:rsidRPr="00115504">
        <w:t xml:space="preserve"> </w:t>
      </w:r>
      <w:r w:rsidRPr="00115504" w:rsidR="00D4610F">
        <w:t xml:space="preserve">although </w:t>
      </w:r>
      <w:r w:rsidRPr="00115504" w:rsidR="00417D07">
        <w:t>the use of Artificial Intelligence (AI) is not new</w:t>
      </w:r>
      <w:r w:rsidRPr="00115504" w:rsidR="00D4610F">
        <w:t>,</w:t>
      </w:r>
      <w:r w:rsidRPr="00115504" w:rsidR="00417D07">
        <w:t xml:space="preserve"> its development </w:t>
      </w:r>
      <w:r w:rsidRPr="00115504" w:rsidR="00EA070E">
        <w:t xml:space="preserve">and use as part of </w:t>
      </w:r>
      <w:r w:rsidRPr="00115504">
        <w:t>digital technolog</w:t>
      </w:r>
      <w:r w:rsidRPr="00115504" w:rsidR="00EA070E">
        <w:t>y</w:t>
      </w:r>
      <w:r w:rsidRPr="00115504">
        <w:t xml:space="preserve"> </w:t>
      </w:r>
      <w:r w:rsidRPr="00115504" w:rsidR="00EA070E">
        <w:t xml:space="preserve">is </w:t>
      </w:r>
      <w:r w:rsidRPr="00115504">
        <w:t>evolve rapidly</w:t>
      </w:r>
      <w:r w:rsidRPr="00115504" w:rsidR="00D4610F">
        <w:t>.</w:t>
      </w:r>
      <w:r w:rsidR="00D4610F">
        <w:rPr>
          <w:color w:val="auto"/>
        </w:rPr>
        <w:t xml:space="preserve"> This development </w:t>
      </w:r>
      <w:r w:rsidR="00EA070E">
        <w:rPr>
          <w:color w:val="auto"/>
        </w:rPr>
        <w:t>is still at an early stage in much of the EU machine tool and manufacturing industry</w:t>
      </w:r>
      <w:r w:rsidR="00D4610F">
        <w:rPr>
          <w:color w:val="auto"/>
        </w:rPr>
        <w:t xml:space="preserve"> and </w:t>
      </w:r>
      <w:r w:rsidR="00D56165">
        <w:rPr>
          <w:color w:val="auto"/>
        </w:rPr>
        <w:t xml:space="preserve">it is important for the EU that it is </w:t>
      </w:r>
      <w:r w:rsidR="00D4610F">
        <w:rPr>
          <w:color w:val="auto"/>
        </w:rPr>
        <w:t>encouraged</w:t>
      </w:r>
      <w:r w:rsidR="00D56165">
        <w:rPr>
          <w:color w:val="auto"/>
        </w:rPr>
        <w:t>. T</w:t>
      </w:r>
      <w:r w:rsidR="00D4610F">
        <w:rPr>
          <w:color w:val="auto"/>
        </w:rPr>
        <w:t xml:space="preserve">he EESC believe </w:t>
      </w:r>
      <w:r w:rsidR="0081160A">
        <w:rPr>
          <w:color w:val="auto"/>
        </w:rPr>
        <w:t xml:space="preserve">the </w:t>
      </w:r>
      <w:r w:rsidR="00D56165">
        <w:rPr>
          <w:color w:val="auto"/>
        </w:rPr>
        <w:t xml:space="preserve">current Machinery Directive’s well known and used methodology </w:t>
      </w:r>
      <w:r w:rsidR="0081160A">
        <w:rPr>
          <w:color w:val="auto"/>
        </w:rPr>
        <w:t>to control risk does not need to be changed</w:t>
      </w:r>
      <w:r w:rsidR="00D56165">
        <w:rPr>
          <w:color w:val="auto"/>
        </w:rPr>
        <w:t xml:space="preserve"> to accommodate this technology</w:t>
      </w:r>
      <w:r w:rsidR="00EA070E">
        <w:rPr>
          <w:color w:val="auto"/>
        </w:rPr>
        <w:t>.</w:t>
      </w:r>
      <w:r w:rsidRPr="00343754" w:rsidR="00EA070E">
        <w:rPr>
          <w:color w:val="auto"/>
        </w:rPr>
        <w:t xml:space="preserve"> </w:t>
      </w:r>
      <w:r w:rsidR="00D4610F">
        <w:rPr>
          <w:color w:val="auto"/>
        </w:rPr>
        <w:t>T</w:t>
      </w:r>
      <w:r w:rsidR="0081160A">
        <w:rPr>
          <w:color w:val="auto"/>
        </w:rPr>
        <w:t xml:space="preserve">his is because </w:t>
      </w:r>
      <w:r w:rsidRPr="00343754">
        <w:rPr>
          <w:color w:val="auto"/>
        </w:rPr>
        <w:t xml:space="preserve">the principles of Risk Assessment and Risk Reduction (RA&amp;RR) – </w:t>
      </w:r>
      <w:r w:rsidR="003502C6">
        <w:rPr>
          <w:color w:val="auto"/>
        </w:rPr>
        <w:t>in</w:t>
      </w:r>
      <w:r w:rsidRPr="00343754" w:rsidR="003502C6">
        <w:rPr>
          <w:color w:val="auto"/>
        </w:rPr>
        <w:t xml:space="preserve"> </w:t>
      </w:r>
      <w:r w:rsidRPr="00343754">
        <w:rPr>
          <w:color w:val="auto"/>
        </w:rPr>
        <w:t>which the Machinery Directive is rooted – remain constant. The iterative com</w:t>
      </w:r>
      <w:r w:rsidR="00E23582">
        <w:rPr>
          <w:color w:val="auto"/>
        </w:rPr>
        <w:t>bination of these principles is</w:t>
      </w:r>
      <w:r w:rsidRPr="00343754">
        <w:rPr>
          <w:color w:val="auto"/>
        </w:rPr>
        <w:t xml:space="preserve"> technology-neutral: RA&amp;RR can be successfully applied to assess and decide whether any digital technology can be incorporated in</w:t>
      </w:r>
      <w:r w:rsidR="00A817A0">
        <w:rPr>
          <w:color w:val="auto"/>
        </w:rPr>
        <w:t>to</w:t>
      </w:r>
      <w:r w:rsidRPr="00343754">
        <w:rPr>
          <w:color w:val="auto"/>
        </w:rPr>
        <w:t xml:space="preserve"> machinery design in order to </w:t>
      </w:r>
      <w:r w:rsidR="00A817A0">
        <w:rPr>
          <w:color w:val="auto"/>
        </w:rPr>
        <w:t>ensure that</w:t>
      </w:r>
      <w:r w:rsidRPr="00343754" w:rsidR="00A817A0">
        <w:rPr>
          <w:color w:val="auto"/>
        </w:rPr>
        <w:t xml:space="preserve"> </w:t>
      </w:r>
      <w:r w:rsidRPr="00343754">
        <w:rPr>
          <w:color w:val="auto"/>
        </w:rPr>
        <w:t xml:space="preserve">machinery </w:t>
      </w:r>
      <w:r w:rsidR="00A817A0">
        <w:rPr>
          <w:color w:val="auto"/>
        </w:rPr>
        <w:t xml:space="preserve">is </w:t>
      </w:r>
      <w:r w:rsidRPr="00343754">
        <w:rPr>
          <w:color w:val="auto"/>
        </w:rPr>
        <w:t xml:space="preserve">compliant with the Machinery Directive. Accordingly, no technology (including new digital applications) can be introduced in machinery design if it cannot be verified and validated – for all of the phases of </w:t>
      </w:r>
      <w:r w:rsidR="00FA0F44">
        <w:rPr>
          <w:color w:val="auto"/>
        </w:rPr>
        <w:t>a</w:t>
      </w:r>
      <w:r w:rsidRPr="00343754" w:rsidR="00FA0F44">
        <w:rPr>
          <w:color w:val="auto"/>
        </w:rPr>
        <w:t xml:space="preserve"> </w:t>
      </w:r>
      <w:r w:rsidRPr="00343754">
        <w:rPr>
          <w:color w:val="auto"/>
        </w:rPr>
        <w:t>machine</w:t>
      </w:r>
      <w:r w:rsidR="00FA0F44">
        <w:rPr>
          <w:color w:val="auto"/>
        </w:rPr>
        <w:t>'s</w:t>
      </w:r>
      <w:r w:rsidRPr="00343754">
        <w:rPr>
          <w:color w:val="auto"/>
        </w:rPr>
        <w:t xml:space="preserve"> life cycle – by the conformity assessment procedures (which always include RA&amp;RR), described in Article 12 of the Machinery Directive.</w:t>
      </w:r>
    </w:p>
    <w:p w:rsidRPr="00343754" w:rsidR="00343754" w:rsidP="00343754" w:rsidRDefault="00343754" w14:paraId="4A53DE24" w14:textId="77777777"/>
    <w:p w:rsidR="008C646D" w:rsidP="000F2336" w:rsidRDefault="00C43FC3" w14:paraId="0E7DEB37" w14:textId="65A442EF">
      <w:pPr>
        <w:pStyle w:val="Heading2"/>
        <w:numPr>
          <w:ilvl w:val="1"/>
          <w:numId w:val="47"/>
        </w:numPr>
        <w:textAlignment w:val="auto"/>
        <w:rPr>
          <w:color w:val="auto"/>
        </w:rPr>
      </w:pPr>
      <w:r w:rsidRPr="00C43FC3">
        <w:rPr>
          <w:color w:val="auto"/>
        </w:rPr>
        <w:t xml:space="preserve">The EESC </w:t>
      </w:r>
      <w:r w:rsidRPr="00C43FC3" w:rsidR="00931337">
        <w:rPr>
          <w:color w:val="auto"/>
        </w:rPr>
        <w:t>invites</w:t>
      </w:r>
      <w:r w:rsidRPr="00C43FC3">
        <w:rPr>
          <w:color w:val="auto"/>
        </w:rPr>
        <w:t xml:space="preserve"> the European Commission to </w:t>
      </w:r>
      <w:r w:rsidR="00FA0F44">
        <w:rPr>
          <w:color w:val="auto"/>
        </w:rPr>
        <w:t xml:space="preserve">establish a clearer </w:t>
      </w:r>
      <w:r w:rsidRPr="00C43FC3">
        <w:rPr>
          <w:color w:val="auto"/>
        </w:rPr>
        <w:t>connect</w:t>
      </w:r>
      <w:r w:rsidR="00FA0F44">
        <w:rPr>
          <w:color w:val="auto"/>
        </w:rPr>
        <w:t>ion</w:t>
      </w:r>
      <w:r w:rsidRPr="00C43FC3">
        <w:rPr>
          <w:color w:val="auto"/>
        </w:rPr>
        <w:t xml:space="preserve"> </w:t>
      </w:r>
      <w:r w:rsidR="00FA0F44">
        <w:rPr>
          <w:color w:val="auto"/>
        </w:rPr>
        <w:t>between</w:t>
      </w:r>
      <w:r w:rsidRPr="00C43FC3">
        <w:rPr>
          <w:color w:val="auto"/>
        </w:rPr>
        <w:t xml:space="preserve"> the two legislative domains regulating the design and use of machinery</w:t>
      </w:r>
      <w:r w:rsidR="00FA0F44">
        <w:rPr>
          <w:color w:val="auto"/>
        </w:rPr>
        <w:t xml:space="preserve">, </w:t>
      </w:r>
      <w:r w:rsidR="00604511">
        <w:rPr>
          <w:color w:val="auto"/>
        </w:rPr>
        <w:t xml:space="preserve">namely </w:t>
      </w:r>
      <w:r w:rsidR="006C4D3E">
        <w:rPr>
          <w:color w:val="auto"/>
        </w:rPr>
        <w:t>the Machinery Directive 2006/42/EC</w:t>
      </w:r>
      <w:r w:rsidR="00604511">
        <w:rPr>
          <w:color w:val="auto"/>
        </w:rPr>
        <w:t xml:space="preserve"> and </w:t>
      </w:r>
      <w:r w:rsidR="006C4D3E">
        <w:rPr>
          <w:color w:val="auto"/>
        </w:rPr>
        <w:t xml:space="preserve">the Use of Work Equipment </w:t>
      </w:r>
      <w:r w:rsidR="00604511">
        <w:rPr>
          <w:color w:val="auto"/>
        </w:rPr>
        <w:t xml:space="preserve">Directive </w:t>
      </w:r>
      <w:r w:rsidRPr="00C43FC3" w:rsidR="00604511">
        <w:rPr>
          <w:color w:val="auto"/>
        </w:rPr>
        <w:t>2009/104/EC</w:t>
      </w:r>
      <w:r w:rsidR="00472353">
        <w:rPr>
          <w:color w:val="auto"/>
        </w:rPr>
        <w:t xml:space="preserve">, </w:t>
      </w:r>
      <w:r w:rsidR="00A817A0">
        <w:rPr>
          <w:color w:val="auto"/>
        </w:rPr>
        <w:t xml:space="preserve">thus </w:t>
      </w:r>
      <w:r w:rsidR="00472353">
        <w:rPr>
          <w:color w:val="auto"/>
        </w:rPr>
        <w:t>m</w:t>
      </w:r>
      <w:r w:rsidRPr="00C43FC3">
        <w:rPr>
          <w:color w:val="auto"/>
        </w:rPr>
        <w:t>ak</w:t>
      </w:r>
      <w:r w:rsidR="00A817A0">
        <w:rPr>
          <w:color w:val="auto"/>
        </w:rPr>
        <w:t>ing</w:t>
      </w:r>
      <w:r w:rsidRPr="00C43FC3">
        <w:rPr>
          <w:color w:val="auto"/>
        </w:rPr>
        <w:t xml:space="preserve"> it </w:t>
      </w:r>
      <w:r w:rsidR="00A817A0">
        <w:rPr>
          <w:color w:val="auto"/>
        </w:rPr>
        <w:t xml:space="preserve">completely </w:t>
      </w:r>
      <w:r w:rsidRPr="00C43FC3">
        <w:rPr>
          <w:color w:val="auto"/>
        </w:rPr>
        <w:t xml:space="preserve">unambiguous that </w:t>
      </w:r>
      <w:r w:rsidRPr="00472353">
        <w:rPr>
          <w:i/>
          <w:iCs/>
          <w:color w:val="auto"/>
        </w:rPr>
        <w:t>the safe design of machinery for all the phases of its life cycle is a precondition for safe use</w:t>
      </w:r>
      <w:r w:rsidRPr="00C43FC3">
        <w:rPr>
          <w:color w:val="auto"/>
        </w:rPr>
        <w:t xml:space="preserve">. This principle must not be challenged by controversial topics </w:t>
      </w:r>
      <w:r w:rsidR="003502C6">
        <w:rPr>
          <w:color w:val="auto"/>
        </w:rPr>
        <w:t>such as</w:t>
      </w:r>
      <w:r w:rsidRPr="00C43FC3" w:rsidR="003502C6">
        <w:rPr>
          <w:color w:val="auto"/>
        </w:rPr>
        <w:t xml:space="preserve"> </w:t>
      </w:r>
      <w:r w:rsidR="008A0F02">
        <w:rPr>
          <w:color w:val="auto"/>
        </w:rPr>
        <w:t xml:space="preserve">the </w:t>
      </w:r>
      <w:r w:rsidRPr="00C43FC3">
        <w:rPr>
          <w:color w:val="auto"/>
        </w:rPr>
        <w:t xml:space="preserve">modification </w:t>
      </w:r>
      <w:r w:rsidR="008A0F02">
        <w:rPr>
          <w:color w:val="auto"/>
        </w:rPr>
        <w:t>of</w:t>
      </w:r>
      <w:r w:rsidRPr="00C43FC3">
        <w:rPr>
          <w:color w:val="auto"/>
        </w:rPr>
        <w:t xml:space="preserve"> machine</w:t>
      </w:r>
      <w:r w:rsidR="00FA0F44">
        <w:rPr>
          <w:color w:val="auto"/>
        </w:rPr>
        <w:t>s, including</w:t>
      </w:r>
      <w:r w:rsidR="00E23582">
        <w:rPr>
          <w:color w:val="auto"/>
        </w:rPr>
        <w:t xml:space="preserve"> </w:t>
      </w:r>
      <w:r w:rsidRPr="00C43FC3">
        <w:rPr>
          <w:color w:val="auto"/>
        </w:rPr>
        <w:t>machine</w:t>
      </w:r>
      <w:r w:rsidR="00FA0F44">
        <w:rPr>
          <w:color w:val="auto"/>
        </w:rPr>
        <w:t>s</w:t>
      </w:r>
      <w:r w:rsidRPr="00C43FC3">
        <w:rPr>
          <w:color w:val="auto"/>
        </w:rPr>
        <w:t xml:space="preserve"> with learning capabilities</w:t>
      </w:r>
      <w:r w:rsidR="00FA0F44">
        <w:rPr>
          <w:color w:val="auto"/>
        </w:rPr>
        <w:t>,</w:t>
      </w:r>
      <w:r w:rsidRPr="00C43FC3">
        <w:rPr>
          <w:color w:val="auto"/>
        </w:rPr>
        <w:t xml:space="preserve"> during their operational service life. The EESC </w:t>
      </w:r>
      <w:r w:rsidRPr="00C43FC3" w:rsidR="00931337">
        <w:rPr>
          <w:color w:val="auto"/>
        </w:rPr>
        <w:t xml:space="preserve">points out </w:t>
      </w:r>
      <w:r w:rsidRPr="00C43FC3">
        <w:rPr>
          <w:color w:val="auto"/>
        </w:rPr>
        <w:t>that without such clarification of the interrelation between Directive</w:t>
      </w:r>
      <w:r w:rsidR="00A817A0">
        <w:rPr>
          <w:color w:val="auto"/>
        </w:rPr>
        <w:t>s</w:t>
      </w:r>
      <w:r w:rsidRPr="00C43FC3">
        <w:rPr>
          <w:color w:val="auto"/>
        </w:rPr>
        <w:t xml:space="preserve"> 2006/42/EC and 2009/104/EC, ambiguity will </w:t>
      </w:r>
      <w:r w:rsidR="00A817A0">
        <w:rPr>
          <w:color w:val="auto"/>
        </w:rPr>
        <w:t xml:space="preserve">continue to surround </w:t>
      </w:r>
      <w:r w:rsidRPr="00C43FC3">
        <w:rPr>
          <w:color w:val="auto"/>
        </w:rPr>
        <w:t xml:space="preserve">the risk assessment duties of </w:t>
      </w:r>
      <w:r w:rsidR="00A817A0">
        <w:rPr>
          <w:color w:val="auto"/>
        </w:rPr>
        <w:t>m</w:t>
      </w:r>
      <w:r w:rsidRPr="00C43FC3">
        <w:rPr>
          <w:color w:val="auto"/>
        </w:rPr>
        <w:t xml:space="preserve">anufacturers, </w:t>
      </w:r>
      <w:r w:rsidR="00A817A0">
        <w:rPr>
          <w:color w:val="auto"/>
        </w:rPr>
        <w:t>e</w:t>
      </w:r>
      <w:r w:rsidRPr="00C43FC3">
        <w:rPr>
          <w:color w:val="auto"/>
        </w:rPr>
        <w:t xml:space="preserve">mployers, </w:t>
      </w:r>
      <w:r w:rsidR="00A817A0">
        <w:rPr>
          <w:color w:val="auto"/>
        </w:rPr>
        <w:t>m</w:t>
      </w:r>
      <w:r w:rsidRPr="00C43FC3">
        <w:rPr>
          <w:color w:val="auto"/>
        </w:rPr>
        <w:t xml:space="preserve">arket </w:t>
      </w:r>
      <w:r w:rsidR="00A817A0">
        <w:rPr>
          <w:color w:val="auto"/>
        </w:rPr>
        <w:t>s</w:t>
      </w:r>
      <w:r w:rsidRPr="00C43FC3">
        <w:rPr>
          <w:color w:val="auto"/>
        </w:rPr>
        <w:t xml:space="preserve">urveillance </w:t>
      </w:r>
      <w:r w:rsidR="00A817A0">
        <w:rPr>
          <w:color w:val="auto"/>
        </w:rPr>
        <w:t>a</w:t>
      </w:r>
      <w:r w:rsidRPr="00C43FC3">
        <w:rPr>
          <w:color w:val="auto"/>
        </w:rPr>
        <w:t xml:space="preserve">uthorities and </w:t>
      </w:r>
      <w:r w:rsidR="00A817A0">
        <w:rPr>
          <w:color w:val="auto"/>
        </w:rPr>
        <w:t>l</w:t>
      </w:r>
      <w:r w:rsidRPr="00C43FC3">
        <w:rPr>
          <w:color w:val="auto"/>
        </w:rPr>
        <w:t xml:space="preserve">abour </w:t>
      </w:r>
      <w:r w:rsidR="00A817A0">
        <w:rPr>
          <w:color w:val="auto"/>
        </w:rPr>
        <w:t>i</w:t>
      </w:r>
      <w:r w:rsidRPr="00C43FC3">
        <w:rPr>
          <w:color w:val="auto"/>
        </w:rPr>
        <w:t xml:space="preserve">nspectors </w:t>
      </w:r>
      <w:r w:rsidR="00A817A0">
        <w:rPr>
          <w:color w:val="auto"/>
        </w:rPr>
        <w:t>in respect of</w:t>
      </w:r>
      <w:r w:rsidRPr="00C43FC3" w:rsidR="00A817A0">
        <w:rPr>
          <w:color w:val="auto"/>
        </w:rPr>
        <w:t xml:space="preserve"> </w:t>
      </w:r>
      <w:r w:rsidRPr="00C43FC3">
        <w:rPr>
          <w:color w:val="auto"/>
        </w:rPr>
        <w:t>machinery.</w:t>
      </w:r>
    </w:p>
    <w:p w:rsidRPr="00C43FC3" w:rsidR="00C43FC3" w:rsidP="00C43FC3" w:rsidRDefault="00C43FC3" w14:paraId="0FB5522F" w14:textId="77777777"/>
    <w:p w:rsidRPr="000C060D" w:rsidR="00A8097C" w:rsidP="00A41495" w:rsidRDefault="002A5602" w14:paraId="3A1E8734" w14:textId="2BFE7D1D">
      <w:pPr>
        <w:pStyle w:val="Heading2"/>
        <w:numPr>
          <w:ilvl w:val="1"/>
          <w:numId w:val="47"/>
        </w:numPr>
        <w:textAlignment w:val="auto"/>
        <w:rPr>
          <w:color w:val="auto"/>
        </w:rPr>
      </w:pPr>
      <w:r w:rsidRPr="0027723D">
        <w:rPr>
          <w:color w:val="auto"/>
        </w:rPr>
        <w:t xml:space="preserve">When manufacturers are not aware of the </w:t>
      </w:r>
      <w:r w:rsidR="008A0F02">
        <w:rPr>
          <w:color w:val="auto"/>
        </w:rPr>
        <w:t>actual</w:t>
      </w:r>
      <w:r w:rsidRPr="0027723D" w:rsidR="008A0F02">
        <w:rPr>
          <w:color w:val="auto"/>
        </w:rPr>
        <w:t xml:space="preserve"> </w:t>
      </w:r>
      <w:r w:rsidRPr="0027723D">
        <w:rPr>
          <w:color w:val="auto"/>
        </w:rPr>
        <w:t xml:space="preserve">conditions in which machines operate, </w:t>
      </w:r>
      <w:r w:rsidR="00A817A0">
        <w:rPr>
          <w:color w:val="auto"/>
        </w:rPr>
        <w:t xml:space="preserve">it is highly likely that </w:t>
      </w:r>
      <w:r w:rsidRPr="0027723D">
        <w:rPr>
          <w:color w:val="auto"/>
        </w:rPr>
        <w:t xml:space="preserve">the result </w:t>
      </w:r>
      <w:r w:rsidR="00A817A0">
        <w:rPr>
          <w:color w:val="auto"/>
        </w:rPr>
        <w:t>will</w:t>
      </w:r>
      <w:r w:rsidRPr="0027723D">
        <w:rPr>
          <w:color w:val="auto"/>
        </w:rPr>
        <w:t xml:space="preserve"> be an unsafe machine</w:t>
      </w:r>
      <w:r>
        <w:rPr>
          <w:color w:val="auto"/>
        </w:rPr>
        <w:t xml:space="preserve">. </w:t>
      </w:r>
      <w:r w:rsidRPr="000C060D" w:rsidR="008C646D">
        <w:rPr>
          <w:color w:val="auto"/>
        </w:rPr>
        <w:t>The EESC</w:t>
      </w:r>
      <w:r w:rsidRPr="000C060D" w:rsidR="000B6471">
        <w:rPr>
          <w:color w:val="auto"/>
        </w:rPr>
        <w:t xml:space="preserve"> invites </w:t>
      </w:r>
      <w:r w:rsidRPr="000C060D" w:rsidR="008C646D">
        <w:rPr>
          <w:color w:val="auto"/>
        </w:rPr>
        <w:t>the Commission</w:t>
      </w:r>
      <w:r w:rsidR="00A817A0">
        <w:rPr>
          <w:color w:val="auto"/>
        </w:rPr>
        <w:t>'s</w:t>
      </w:r>
      <w:r w:rsidRPr="000C060D" w:rsidR="008C646D">
        <w:rPr>
          <w:color w:val="auto"/>
        </w:rPr>
        <w:t xml:space="preserve"> DG Employment and DG Grow to </w:t>
      </w:r>
      <w:r w:rsidR="00A817A0">
        <w:rPr>
          <w:color w:val="auto"/>
        </w:rPr>
        <w:t>esta</w:t>
      </w:r>
      <w:r w:rsidR="006C4D3E">
        <w:rPr>
          <w:color w:val="auto"/>
        </w:rPr>
        <w:t>b</w:t>
      </w:r>
      <w:r w:rsidR="00A817A0">
        <w:rPr>
          <w:color w:val="auto"/>
        </w:rPr>
        <w:t>lish</w:t>
      </w:r>
      <w:r w:rsidRPr="000C060D" w:rsidR="00A817A0">
        <w:rPr>
          <w:color w:val="auto"/>
        </w:rPr>
        <w:t xml:space="preserve"> </w:t>
      </w:r>
      <w:r w:rsidRPr="000C060D" w:rsidR="008C646D">
        <w:rPr>
          <w:color w:val="auto"/>
        </w:rPr>
        <w:t xml:space="preserve">a joint coordinated strategy centred on the application of </w:t>
      </w:r>
      <w:r w:rsidRPr="000C060D" w:rsidR="000C060D">
        <w:rPr>
          <w:color w:val="auto"/>
        </w:rPr>
        <w:t xml:space="preserve">the </w:t>
      </w:r>
      <w:r w:rsidRPr="000C060D" w:rsidR="008C646D">
        <w:rPr>
          <w:color w:val="auto"/>
        </w:rPr>
        <w:t>ISO/CEN Technical Report on the Feedback Method to identify risk</w:t>
      </w:r>
      <w:r w:rsidR="00A817A0">
        <w:rPr>
          <w:color w:val="auto"/>
        </w:rPr>
        <w:t>s</w:t>
      </w:r>
      <w:r w:rsidRPr="000C060D" w:rsidR="008C646D">
        <w:rPr>
          <w:color w:val="auto"/>
        </w:rPr>
        <w:t xml:space="preserve"> in the use of machinery and create the missing </w:t>
      </w:r>
      <w:r w:rsidR="006C4D3E">
        <w:rPr>
          <w:color w:val="auto"/>
        </w:rPr>
        <w:t>link</w:t>
      </w:r>
      <w:r w:rsidRPr="000C060D" w:rsidR="006C4D3E">
        <w:rPr>
          <w:color w:val="auto"/>
        </w:rPr>
        <w:t xml:space="preserve"> </w:t>
      </w:r>
      <w:r w:rsidRPr="000C060D" w:rsidR="008C646D">
        <w:rPr>
          <w:color w:val="auto"/>
        </w:rPr>
        <w:t>between the Machinery Directive (</w:t>
      </w:r>
      <w:r w:rsidR="00B5131A">
        <w:rPr>
          <w:color w:val="auto"/>
        </w:rPr>
        <w:t xml:space="preserve">safe </w:t>
      </w:r>
      <w:r w:rsidRPr="000C060D" w:rsidR="008C646D">
        <w:rPr>
          <w:color w:val="auto"/>
        </w:rPr>
        <w:t>design) and the Use of Work Equipment Directive 2009/104/EC (</w:t>
      </w:r>
      <w:r w:rsidR="00B5131A">
        <w:rPr>
          <w:color w:val="auto"/>
        </w:rPr>
        <w:t xml:space="preserve">safe </w:t>
      </w:r>
      <w:r w:rsidRPr="000C060D" w:rsidR="008C646D">
        <w:rPr>
          <w:color w:val="auto"/>
        </w:rPr>
        <w:t>use), as the latter requires work equipment (</w:t>
      </w:r>
      <w:r w:rsidR="00984F14">
        <w:rPr>
          <w:color w:val="auto"/>
        </w:rPr>
        <w:t xml:space="preserve">including </w:t>
      </w:r>
      <w:r w:rsidRPr="000C060D" w:rsidR="008C646D">
        <w:rPr>
          <w:color w:val="auto"/>
        </w:rPr>
        <w:t xml:space="preserve">machinery) to be maintained to meet the requirements of the Machinery Directive and so places this responsibility on the companies using machinery. </w:t>
      </w:r>
    </w:p>
    <w:p w:rsidR="000646C3" w:rsidP="00215F92" w:rsidRDefault="000646C3" w14:paraId="40359D39" w14:textId="77777777">
      <w:pPr>
        <w:pStyle w:val="Heading2"/>
        <w:numPr>
          <w:ilvl w:val="0"/>
          <w:numId w:val="0"/>
        </w:numPr>
        <w:textAlignment w:val="auto"/>
        <w:rPr>
          <w:color w:val="auto"/>
        </w:rPr>
      </w:pPr>
    </w:p>
    <w:p w:rsidR="002A5602" w:rsidP="006C04B6" w:rsidRDefault="002A5602" w14:paraId="63DD6A8C" w14:textId="4DA649FC">
      <w:pPr>
        <w:pStyle w:val="Heading2"/>
        <w:numPr>
          <w:ilvl w:val="1"/>
          <w:numId w:val="47"/>
        </w:numPr>
        <w:textAlignment w:val="auto"/>
        <w:rPr>
          <w:color w:val="auto"/>
        </w:rPr>
      </w:pPr>
      <w:r w:rsidRPr="002A5602">
        <w:rPr>
          <w:color w:val="auto"/>
        </w:rPr>
        <w:t xml:space="preserve">The EESC </w:t>
      </w:r>
      <w:r w:rsidRPr="002A5602" w:rsidR="000B6471">
        <w:rPr>
          <w:color w:val="auto"/>
        </w:rPr>
        <w:t xml:space="preserve">invites </w:t>
      </w:r>
      <w:r w:rsidRPr="002A5602">
        <w:rPr>
          <w:color w:val="auto"/>
        </w:rPr>
        <w:t>the Commission to improve the text of the Machinery Directive by stressing the importance of ergonomic risks. Although the present Directive allocate</w:t>
      </w:r>
      <w:r>
        <w:rPr>
          <w:color w:val="auto"/>
        </w:rPr>
        <w:t>s</w:t>
      </w:r>
      <w:r w:rsidRPr="002A5602">
        <w:rPr>
          <w:color w:val="auto"/>
        </w:rPr>
        <w:t xml:space="preserve"> a section to ergonomics (</w:t>
      </w:r>
      <w:r w:rsidR="00082602">
        <w:rPr>
          <w:color w:val="auto"/>
        </w:rPr>
        <w:t xml:space="preserve">Annex I, </w:t>
      </w:r>
      <w:r w:rsidRPr="00082602" w:rsidR="00082602">
        <w:rPr>
          <w:color w:val="auto"/>
        </w:rPr>
        <w:t>§</w:t>
      </w:r>
      <w:r w:rsidRPr="002A5602">
        <w:rPr>
          <w:color w:val="auto"/>
        </w:rPr>
        <w:t>1.1.6)</w:t>
      </w:r>
      <w:r>
        <w:rPr>
          <w:color w:val="auto"/>
        </w:rPr>
        <w:t xml:space="preserve">, </w:t>
      </w:r>
      <w:r w:rsidRPr="002A5602">
        <w:rPr>
          <w:color w:val="auto"/>
        </w:rPr>
        <w:t xml:space="preserve">this change seems to have had little </w:t>
      </w:r>
      <w:r>
        <w:rPr>
          <w:color w:val="auto"/>
        </w:rPr>
        <w:t>e</w:t>
      </w:r>
      <w:r w:rsidRPr="002A5602">
        <w:rPr>
          <w:color w:val="auto"/>
        </w:rPr>
        <w:t xml:space="preserve">ffect </w:t>
      </w:r>
      <w:r w:rsidR="00CE1757">
        <w:rPr>
          <w:color w:val="auto"/>
        </w:rPr>
        <w:t xml:space="preserve">on </w:t>
      </w:r>
      <w:r w:rsidR="00DF61B1">
        <w:rPr>
          <w:color w:val="auto"/>
        </w:rPr>
        <w:t xml:space="preserve">most </w:t>
      </w:r>
      <w:r w:rsidR="00CE1757">
        <w:rPr>
          <w:color w:val="auto"/>
        </w:rPr>
        <w:t>manufacturers</w:t>
      </w:r>
      <w:r w:rsidR="003E4BD8">
        <w:rPr>
          <w:color w:val="auto"/>
        </w:rPr>
        <w:t>'</w:t>
      </w:r>
      <w:r w:rsidR="00CE1757">
        <w:rPr>
          <w:color w:val="auto"/>
        </w:rPr>
        <w:t xml:space="preserve"> attitude</w:t>
      </w:r>
      <w:r w:rsidR="00DF61B1">
        <w:rPr>
          <w:color w:val="auto"/>
        </w:rPr>
        <w:t>s</w:t>
      </w:r>
      <w:r w:rsidR="00CE1757">
        <w:rPr>
          <w:color w:val="auto"/>
        </w:rPr>
        <w:t xml:space="preserve">, </w:t>
      </w:r>
      <w:r w:rsidR="005E7282">
        <w:rPr>
          <w:color w:val="auto"/>
        </w:rPr>
        <w:t xml:space="preserve">meaning that </w:t>
      </w:r>
      <w:r w:rsidRPr="002A5602">
        <w:rPr>
          <w:color w:val="auto"/>
        </w:rPr>
        <w:t xml:space="preserve">the chronic harm caused by poor ergonomic design remains a major challenge. </w:t>
      </w:r>
      <w:r>
        <w:rPr>
          <w:color w:val="auto"/>
        </w:rPr>
        <w:t xml:space="preserve">The EESC </w:t>
      </w:r>
      <w:r w:rsidR="000B6471">
        <w:rPr>
          <w:color w:val="auto"/>
        </w:rPr>
        <w:t>suggests</w:t>
      </w:r>
      <w:r>
        <w:rPr>
          <w:color w:val="auto"/>
        </w:rPr>
        <w:t xml:space="preserve"> </w:t>
      </w:r>
      <w:r w:rsidRPr="002A5602">
        <w:rPr>
          <w:color w:val="auto"/>
        </w:rPr>
        <w:t>giv</w:t>
      </w:r>
      <w:r>
        <w:rPr>
          <w:color w:val="auto"/>
        </w:rPr>
        <w:t>ing</w:t>
      </w:r>
      <w:r w:rsidRPr="002A5602">
        <w:rPr>
          <w:color w:val="auto"/>
        </w:rPr>
        <w:t xml:space="preserve"> the Machinery ADCO </w:t>
      </w:r>
      <w:r w:rsidR="00391C25">
        <w:rPr>
          <w:color w:val="auto"/>
        </w:rPr>
        <w:t>G</w:t>
      </w:r>
      <w:r w:rsidRPr="002A5602">
        <w:rPr>
          <w:color w:val="auto"/>
        </w:rPr>
        <w:t>roup (</w:t>
      </w:r>
      <w:r w:rsidR="005A29EA">
        <w:rPr>
          <w:color w:val="auto"/>
        </w:rPr>
        <w:t xml:space="preserve">Machinery Administrative and Cooperation </w:t>
      </w:r>
      <w:r w:rsidR="00391C25">
        <w:rPr>
          <w:color w:val="auto"/>
        </w:rPr>
        <w:t>G</w:t>
      </w:r>
      <w:r w:rsidR="005A29EA">
        <w:rPr>
          <w:color w:val="auto"/>
        </w:rPr>
        <w:t xml:space="preserve">roup this is a </w:t>
      </w:r>
      <w:r w:rsidRPr="002A5602">
        <w:rPr>
          <w:color w:val="auto"/>
        </w:rPr>
        <w:t xml:space="preserve">closed EU </w:t>
      </w:r>
      <w:r w:rsidR="00391C25">
        <w:rPr>
          <w:color w:val="auto"/>
        </w:rPr>
        <w:t>G</w:t>
      </w:r>
      <w:r w:rsidRPr="002A5602">
        <w:rPr>
          <w:color w:val="auto"/>
        </w:rPr>
        <w:t xml:space="preserve">roup of </w:t>
      </w:r>
      <w:r w:rsidR="00AC3272">
        <w:rPr>
          <w:color w:val="auto"/>
        </w:rPr>
        <w:t xml:space="preserve">EU and EFTA </w:t>
      </w:r>
      <w:r w:rsidRPr="002A5602">
        <w:rPr>
          <w:color w:val="auto"/>
        </w:rPr>
        <w:t xml:space="preserve">market surveillance authorities) the role of </w:t>
      </w:r>
      <w:r w:rsidR="006F338D">
        <w:rPr>
          <w:color w:val="auto"/>
        </w:rPr>
        <w:t>initiating</w:t>
      </w:r>
      <w:r w:rsidRPr="002A5602" w:rsidR="006F338D">
        <w:rPr>
          <w:color w:val="auto"/>
        </w:rPr>
        <w:t xml:space="preserve"> proactive </w:t>
      </w:r>
      <w:r w:rsidRPr="002A5602">
        <w:rPr>
          <w:color w:val="auto"/>
        </w:rPr>
        <w:t>international project work to identify ergonomic issues</w:t>
      </w:r>
      <w:r>
        <w:rPr>
          <w:color w:val="auto"/>
        </w:rPr>
        <w:t xml:space="preserve"> associated with machinery design.</w:t>
      </w:r>
      <w:r w:rsidRPr="002A5602">
        <w:rPr>
          <w:color w:val="auto"/>
        </w:rPr>
        <w:t xml:space="preserve"> Ideally this would involve the Senior Labour Inspector</w:t>
      </w:r>
      <w:r w:rsidR="00391C25">
        <w:rPr>
          <w:color w:val="auto"/>
        </w:rPr>
        <w:t>s</w:t>
      </w:r>
      <w:r w:rsidRPr="002A5602">
        <w:rPr>
          <w:color w:val="auto"/>
        </w:rPr>
        <w:t xml:space="preserve"> Committee’s MACHEX </w:t>
      </w:r>
      <w:r w:rsidR="00AC3272">
        <w:rPr>
          <w:color w:val="auto"/>
        </w:rPr>
        <w:t xml:space="preserve">(MACHinery EXchange) </w:t>
      </w:r>
      <w:r w:rsidR="00391C25">
        <w:rPr>
          <w:color w:val="auto"/>
        </w:rPr>
        <w:t>G</w:t>
      </w:r>
      <w:r w:rsidRPr="002A5602">
        <w:rPr>
          <w:color w:val="auto"/>
        </w:rPr>
        <w:t>roup</w:t>
      </w:r>
      <w:r w:rsidR="006F338D">
        <w:rPr>
          <w:color w:val="auto"/>
        </w:rPr>
        <w:t>, which is</w:t>
      </w:r>
      <w:r w:rsidRPr="002A5602">
        <w:rPr>
          <w:color w:val="auto"/>
        </w:rPr>
        <w:t xml:space="preserve"> best placed to identify </w:t>
      </w:r>
      <w:r w:rsidR="006F338D">
        <w:rPr>
          <w:color w:val="auto"/>
        </w:rPr>
        <w:t xml:space="preserve">the </w:t>
      </w:r>
      <w:r w:rsidRPr="002A5602">
        <w:rPr>
          <w:color w:val="auto"/>
        </w:rPr>
        <w:t xml:space="preserve">ergonomic risks of machinery in use. Further discussions on this issue </w:t>
      </w:r>
      <w:r w:rsidR="006F338D">
        <w:rPr>
          <w:color w:val="auto"/>
        </w:rPr>
        <w:t>are</w:t>
      </w:r>
      <w:r w:rsidRPr="002A5602" w:rsidR="006F338D">
        <w:rPr>
          <w:color w:val="auto"/>
        </w:rPr>
        <w:t xml:space="preserve"> </w:t>
      </w:r>
      <w:r w:rsidRPr="002A5602">
        <w:rPr>
          <w:color w:val="auto"/>
        </w:rPr>
        <w:t xml:space="preserve">needed and it is suggested </w:t>
      </w:r>
      <w:r w:rsidR="00CE1757">
        <w:rPr>
          <w:color w:val="auto"/>
        </w:rPr>
        <w:t xml:space="preserve">that </w:t>
      </w:r>
      <w:r w:rsidRPr="002A5602">
        <w:rPr>
          <w:color w:val="auto"/>
        </w:rPr>
        <w:t>the EU Commission (DG Employment and DG Grow</w:t>
      </w:r>
      <w:r w:rsidR="006F338D">
        <w:rPr>
          <w:color w:val="auto"/>
        </w:rPr>
        <w:t xml:space="preserve"> jointly</w:t>
      </w:r>
      <w:r w:rsidRPr="002A5602">
        <w:rPr>
          <w:color w:val="auto"/>
        </w:rPr>
        <w:t xml:space="preserve">) hold a seminar to explore </w:t>
      </w:r>
      <w:r w:rsidR="006F338D">
        <w:rPr>
          <w:color w:val="auto"/>
        </w:rPr>
        <w:t xml:space="preserve">the </w:t>
      </w:r>
      <w:r w:rsidRPr="002A5602">
        <w:rPr>
          <w:color w:val="auto"/>
        </w:rPr>
        <w:t>possibilities and implications for the revised Machinery Directive.</w:t>
      </w:r>
    </w:p>
    <w:p w:rsidRPr="002A5602" w:rsidR="002A5602" w:rsidP="002A5602" w:rsidRDefault="002A5602" w14:paraId="404D6AB4" w14:textId="77777777"/>
    <w:p w:rsidR="006C04B6" w:rsidP="006C04B6" w:rsidRDefault="006C04B6" w14:paraId="7503602B" w14:textId="04528BA2">
      <w:pPr>
        <w:pStyle w:val="Heading2"/>
        <w:numPr>
          <w:ilvl w:val="1"/>
          <w:numId w:val="47"/>
        </w:numPr>
        <w:textAlignment w:val="auto"/>
        <w:rPr>
          <w:color w:val="auto"/>
        </w:rPr>
      </w:pPr>
      <w:r w:rsidRPr="006C04B6">
        <w:rPr>
          <w:color w:val="auto"/>
        </w:rPr>
        <w:t>The EESC</w:t>
      </w:r>
      <w:r w:rsidRPr="006C04B6" w:rsidR="000B6471">
        <w:rPr>
          <w:color w:val="auto"/>
        </w:rPr>
        <w:t xml:space="preserve"> believes</w:t>
      </w:r>
      <w:r w:rsidRPr="006C04B6">
        <w:rPr>
          <w:color w:val="auto"/>
        </w:rPr>
        <w:t xml:space="preserve"> that a major revision of the Machinery Directive is not </w:t>
      </w:r>
      <w:r w:rsidR="0057545E">
        <w:rPr>
          <w:color w:val="auto"/>
        </w:rPr>
        <w:t xml:space="preserve">to be </w:t>
      </w:r>
      <w:r w:rsidRPr="006C04B6">
        <w:rPr>
          <w:color w:val="auto"/>
        </w:rPr>
        <w:t xml:space="preserve">recommended </w:t>
      </w:r>
      <w:r w:rsidR="008E1200">
        <w:rPr>
          <w:color w:val="auto"/>
        </w:rPr>
        <w:t xml:space="preserve">before resolving </w:t>
      </w:r>
      <w:r w:rsidRPr="006C04B6">
        <w:rPr>
          <w:color w:val="auto"/>
        </w:rPr>
        <w:t xml:space="preserve">the chronic understaffing, underfunding and poor performance of machinery inspections and controls </w:t>
      </w:r>
      <w:r w:rsidRPr="006C04B6" w:rsidR="00F70592">
        <w:rPr>
          <w:color w:val="auto"/>
        </w:rPr>
        <w:t>(either before or after putting machinery into service)</w:t>
      </w:r>
      <w:r w:rsidR="00F70592">
        <w:rPr>
          <w:color w:val="auto"/>
        </w:rPr>
        <w:t xml:space="preserve"> </w:t>
      </w:r>
      <w:r w:rsidRPr="006C04B6">
        <w:rPr>
          <w:color w:val="auto"/>
        </w:rPr>
        <w:t xml:space="preserve">in the </w:t>
      </w:r>
      <w:r w:rsidR="00F70592">
        <w:rPr>
          <w:color w:val="auto"/>
        </w:rPr>
        <w:t>overwhelming</w:t>
      </w:r>
      <w:r w:rsidRPr="006C04B6" w:rsidR="0057545E">
        <w:rPr>
          <w:color w:val="auto"/>
        </w:rPr>
        <w:t xml:space="preserve"> </w:t>
      </w:r>
      <w:r w:rsidRPr="006C04B6">
        <w:rPr>
          <w:color w:val="auto"/>
        </w:rPr>
        <w:t>majority of Member States</w:t>
      </w:r>
      <w:r w:rsidR="008E1200">
        <w:rPr>
          <w:color w:val="auto"/>
        </w:rPr>
        <w:t>.</w:t>
      </w:r>
      <w:r w:rsidRPr="006C04B6">
        <w:rPr>
          <w:color w:val="auto"/>
        </w:rPr>
        <w:t xml:space="preserve"> </w:t>
      </w:r>
      <w:r w:rsidR="008E1200">
        <w:rPr>
          <w:color w:val="auto"/>
        </w:rPr>
        <w:t xml:space="preserve">Insufficient market surveillance </w:t>
      </w:r>
      <w:r w:rsidRPr="006C04B6">
        <w:rPr>
          <w:color w:val="auto"/>
        </w:rPr>
        <w:t>would make any improvement and change unenforceable</w:t>
      </w:r>
      <w:r w:rsidR="006918DC">
        <w:rPr>
          <w:color w:val="auto"/>
        </w:rPr>
        <w:t xml:space="preserve">, </w:t>
      </w:r>
      <w:r w:rsidRPr="00665048" w:rsidR="006918DC">
        <w:rPr>
          <w:color w:val="auto"/>
        </w:rPr>
        <w:t>w</w:t>
      </w:r>
      <w:r w:rsidR="006918DC">
        <w:rPr>
          <w:color w:val="auto"/>
        </w:rPr>
        <w:t>ould</w:t>
      </w:r>
      <w:r w:rsidRPr="00665048" w:rsidR="006918DC">
        <w:rPr>
          <w:color w:val="auto"/>
        </w:rPr>
        <w:t xml:space="preserve"> have limited effects, particularly on items </w:t>
      </w:r>
      <w:r w:rsidRPr="00665048" w:rsidR="0057545E">
        <w:rPr>
          <w:color w:val="auto"/>
        </w:rPr>
        <w:t xml:space="preserve">imported </w:t>
      </w:r>
      <w:r w:rsidRPr="00665048" w:rsidR="006918DC">
        <w:rPr>
          <w:color w:val="auto"/>
        </w:rPr>
        <w:t>from outside the EU</w:t>
      </w:r>
      <w:r w:rsidR="006918DC">
        <w:rPr>
          <w:color w:val="auto"/>
        </w:rPr>
        <w:t>, and law-abiding companies and their workers w</w:t>
      </w:r>
      <w:r w:rsidR="00CE1757">
        <w:rPr>
          <w:color w:val="auto"/>
        </w:rPr>
        <w:t>ould</w:t>
      </w:r>
      <w:r w:rsidR="006918DC">
        <w:rPr>
          <w:color w:val="auto"/>
        </w:rPr>
        <w:t xml:space="preserve"> fall victim </w:t>
      </w:r>
      <w:r w:rsidR="0057545E">
        <w:rPr>
          <w:color w:val="auto"/>
        </w:rPr>
        <w:t>to</w:t>
      </w:r>
      <w:r w:rsidR="006918DC">
        <w:rPr>
          <w:color w:val="auto"/>
        </w:rPr>
        <w:t xml:space="preserve"> unfair competition</w:t>
      </w:r>
      <w:r w:rsidR="00CE1757">
        <w:rPr>
          <w:color w:val="auto"/>
        </w:rPr>
        <w:t>. Finally, it</w:t>
      </w:r>
      <w:r w:rsidRPr="006C04B6">
        <w:rPr>
          <w:color w:val="auto"/>
        </w:rPr>
        <w:t xml:space="preserve"> </w:t>
      </w:r>
      <w:r w:rsidR="008E1200">
        <w:rPr>
          <w:color w:val="auto"/>
        </w:rPr>
        <w:t xml:space="preserve">would </w:t>
      </w:r>
      <w:r w:rsidRPr="006C04B6">
        <w:rPr>
          <w:color w:val="auto"/>
        </w:rPr>
        <w:t>divert resources away from more urgent endeavours</w:t>
      </w:r>
      <w:r w:rsidR="00632DAA">
        <w:rPr>
          <w:color w:val="auto"/>
        </w:rPr>
        <w:t>,</w:t>
      </w:r>
      <w:r w:rsidRPr="006C04B6">
        <w:rPr>
          <w:color w:val="auto"/>
        </w:rPr>
        <w:t xml:space="preserve"> with no practicable gain</w:t>
      </w:r>
      <w:r w:rsidR="0057545E">
        <w:rPr>
          <w:color w:val="auto"/>
        </w:rPr>
        <w:t>s</w:t>
      </w:r>
      <w:r w:rsidRPr="006C04B6">
        <w:rPr>
          <w:color w:val="auto"/>
        </w:rPr>
        <w:t xml:space="preserve"> in safety.</w:t>
      </w:r>
    </w:p>
    <w:p w:rsidRPr="006C04B6" w:rsidR="006C04B6" w:rsidP="006C04B6" w:rsidRDefault="006C04B6" w14:paraId="1D8D373A" w14:textId="77777777"/>
    <w:p w:rsidRPr="003A6416" w:rsidR="003A6416" w:rsidP="00D768BD" w:rsidRDefault="006C04B6" w14:paraId="4D8C6B3C" w14:textId="223D4A92">
      <w:pPr>
        <w:pStyle w:val="Heading2"/>
        <w:numPr>
          <w:ilvl w:val="1"/>
          <w:numId w:val="47"/>
        </w:numPr>
        <w:textAlignment w:val="auto"/>
      </w:pPr>
      <w:r w:rsidRPr="006C04B6">
        <w:t xml:space="preserve">The EESC is </w:t>
      </w:r>
      <w:r w:rsidRPr="006C04B6" w:rsidR="000B6471">
        <w:t>aware</w:t>
      </w:r>
      <w:r w:rsidRPr="006C04B6">
        <w:t xml:space="preserve"> that over 700 harmonised standards have been developed to describe how machinery can meet Directive 2006/42/EC: at best they aim to codify the </w:t>
      </w:r>
      <w:r w:rsidR="0057545E">
        <w:t>s</w:t>
      </w:r>
      <w:r w:rsidRPr="006C04B6">
        <w:t xml:space="preserve">tate of the </w:t>
      </w:r>
      <w:r w:rsidR="0057545E">
        <w:t>a</w:t>
      </w:r>
      <w:r w:rsidRPr="006C04B6">
        <w:t xml:space="preserve">rt to be considered should a manufacturer decide to follow an alternative, non-standard approach. The EESC </w:t>
      </w:r>
      <w:r w:rsidR="000B6471">
        <w:t>invites</w:t>
      </w:r>
      <w:r w:rsidRPr="006C04B6">
        <w:t xml:space="preserve"> the </w:t>
      </w:r>
      <w:r w:rsidR="00024AD5">
        <w:t>Commission</w:t>
      </w:r>
      <w:r w:rsidRPr="006C04B6">
        <w:t xml:space="preserve"> </w:t>
      </w:r>
      <w:r>
        <w:t xml:space="preserve">to </w:t>
      </w:r>
      <w:r w:rsidR="00632DAA">
        <w:t xml:space="preserve">contribute to the </w:t>
      </w:r>
      <w:r w:rsidRPr="006C04B6">
        <w:t xml:space="preserve">involvement of </w:t>
      </w:r>
      <w:r w:rsidR="00F70592">
        <w:t xml:space="preserve">the </w:t>
      </w:r>
      <w:r w:rsidRPr="006C04B6">
        <w:t xml:space="preserve">social partners (machinery users), </w:t>
      </w:r>
      <w:r w:rsidR="0057545E">
        <w:t>m</w:t>
      </w:r>
      <w:r w:rsidRPr="006C04B6">
        <w:t>arket surveillance authorities and SMEs in standardisation</w:t>
      </w:r>
      <w:r w:rsidR="00BD26BB">
        <w:t xml:space="preserve">, and move from words to action by </w:t>
      </w:r>
      <w:r w:rsidRPr="006C04B6">
        <w:t>enforc</w:t>
      </w:r>
      <w:r w:rsidR="00BD26BB">
        <w:t>ing</w:t>
      </w:r>
      <w:r w:rsidRPr="006C04B6">
        <w:t xml:space="preserve"> Article 7 of the Machinery Directive</w:t>
      </w:r>
      <w:r w:rsidR="00F70592">
        <w:t>.</w:t>
      </w:r>
      <w:r w:rsidRPr="006C04B6" w:rsidR="0057545E">
        <w:t xml:space="preserve"> </w:t>
      </w:r>
      <w:r w:rsidR="0057545E">
        <w:t xml:space="preserve">This article </w:t>
      </w:r>
      <w:r w:rsidRPr="006C04B6">
        <w:t xml:space="preserve">expressly requires Member States to ensure appropriate involvement of </w:t>
      </w:r>
      <w:r w:rsidR="0057545E">
        <w:t xml:space="preserve">the </w:t>
      </w:r>
      <w:r w:rsidRPr="006C04B6">
        <w:t>social partners</w:t>
      </w:r>
      <w:r w:rsidR="00BD26BB">
        <w:t xml:space="preserve"> in standardisation</w:t>
      </w:r>
      <w:r w:rsidRPr="006C04B6">
        <w:t>, as inclusiveness is one of the pillars contributing to the acceptance and uptake of harmonised standards.</w:t>
      </w:r>
      <w:bookmarkEnd w:id="2"/>
    </w:p>
    <w:p w:rsidRPr="00FB73D2" w:rsidR="004C62E1" w:rsidP="004C62E1" w:rsidRDefault="004C62E1" w14:paraId="13F274BE" w14:textId="77777777">
      <w:pPr>
        <w:rPr>
          <w:color w:val="auto"/>
        </w:rPr>
      </w:pPr>
    </w:p>
    <w:p w:rsidRPr="00FB73D2" w:rsidR="004C62E1" w:rsidP="004C62E1" w:rsidRDefault="004C62E1" w14:paraId="577558F7" w14:textId="77777777">
      <w:pPr>
        <w:pStyle w:val="Heading1"/>
        <w:keepNext/>
        <w:numPr>
          <w:ilvl w:val="0"/>
          <w:numId w:val="47"/>
        </w:numPr>
        <w:ind w:left="567" w:hanging="567"/>
        <w:textAlignment w:val="auto"/>
        <w:rPr>
          <w:b/>
          <w:bCs/>
          <w:color w:val="auto"/>
        </w:rPr>
      </w:pPr>
      <w:r w:rsidRPr="00FB73D2">
        <w:rPr>
          <w:b/>
          <w:bCs/>
          <w:color w:val="auto"/>
        </w:rPr>
        <w:t>General comments</w:t>
      </w:r>
    </w:p>
    <w:p w:rsidRPr="00FB73D2" w:rsidR="004C62E1" w:rsidP="004C62E1" w:rsidRDefault="004C62E1" w14:paraId="4BE2E18F" w14:textId="77777777">
      <w:pPr>
        <w:keepNext/>
        <w:rPr>
          <w:color w:val="auto"/>
        </w:rPr>
      </w:pPr>
    </w:p>
    <w:p w:rsidR="006F07CB" w:rsidP="00AC60F2" w:rsidRDefault="00405409" w14:paraId="59F3FF04" w14:textId="698D34ED">
      <w:pPr>
        <w:pStyle w:val="Heading2"/>
        <w:numPr>
          <w:ilvl w:val="1"/>
          <w:numId w:val="47"/>
        </w:numPr>
        <w:textAlignment w:val="auto"/>
        <w:rPr>
          <w:color w:val="auto"/>
        </w:rPr>
      </w:pPr>
      <w:r>
        <w:rPr>
          <w:color w:val="auto"/>
        </w:rPr>
        <w:t xml:space="preserve">The EESC </w:t>
      </w:r>
      <w:r w:rsidR="000B6471">
        <w:rPr>
          <w:color w:val="auto"/>
        </w:rPr>
        <w:t>considers</w:t>
      </w:r>
      <w:r>
        <w:rPr>
          <w:color w:val="auto"/>
        </w:rPr>
        <w:t xml:space="preserve"> that </w:t>
      </w:r>
      <w:r w:rsidRPr="001D3023">
        <w:rPr>
          <w:color w:val="auto"/>
        </w:rPr>
        <w:t xml:space="preserve">only minor revisions of the text of the </w:t>
      </w:r>
      <w:r w:rsidR="0078033D">
        <w:rPr>
          <w:color w:val="auto"/>
        </w:rPr>
        <w:t xml:space="preserve">Machinery </w:t>
      </w:r>
      <w:r w:rsidRPr="001D3023">
        <w:rPr>
          <w:color w:val="auto"/>
        </w:rPr>
        <w:t xml:space="preserve">Directive </w:t>
      </w:r>
      <w:r>
        <w:rPr>
          <w:color w:val="auto"/>
        </w:rPr>
        <w:t>are</w:t>
      </w:r>
      <w:r w:rsidRPr="001D3023">
        <w:rPr>
          <w:color w:val="auto"/>
        </w:rPr>
        <w:t xml:space="preserve"> required</w:t>
      </w:r>
      <w:r w:rsidR="0078033D">
        <w:rPr>
          <w:color w:val="auto"/>
        </w:rPr>
        <w:t xml:space="preserve">. </w:t>
      </w:r>
      <w:r w:rsidRPr="001D3023" w:rsidR="0078033D">
        <w:rPr>
          <w:color w:val="auto"/>
        </w:rPr>
        <w:t>The Directive has stood the test of time</w:t>
      </w:r>
      <w:r w:rsidR="0078033D">
        <w:rPr>
          <w:color w:val="auto"/>
        </w:rPr>
        <w:t xml:space="preserve"> and</w:t>
      </w:r>
      <w:r w:rsidRPr="0033492E" w:rsidR="0078033D">
        <w:rPr>
          <w:color w:val="auto"/>
        </w:rPr>
        <w:t xml:space="preserve"> </w:t>
      </w:r>
      <w:r w:rsidRPr="001D3023" w:rsidR="0078033D">
        <w:rPr>
          <w:color w:val="auto"/>
        </w:rPr>
        <w:t>in general is fit for purpose</w:t>
      </w:r>
      <w:r w:rsidR="0078033D">
        <w:rPr>
          <w:color w:val="auto"/>
        </w:rPr>
        <w:t xml:space="preserve">: </w:t>
      </w:r>
      <w:r w:rsidRPr="001D3023" w:rsidR="0078033D">
        <w:rPr>
          <w:color w:val="auto"/>
        </w:rPr>
        <w:t xml:space="preserve">the approach of setting objectives to be achieved in the text </w:t>
      </w:r>
      <w:r w:rsidR="00472353">
        <w:rPr>
          <w:color w:val="auto"/>
        </w:rPr>
        <w:t xml:space="preserve">– </w:t>
      </w:r>
      <w:r w:rsidRPr="001D3023" w:rsidR="0078033D">
        <w:rPr>
          <w:color w:val="auto"/>
        </w:rPr>
        <w:t xml:space="preserve">leaving </w:t>
      </w:r>
      <w:r w:rsidR="0057545E">
        <w:rPr>
          <w:color w:val="auto"/>
        </w:rPr>
        <w:t>s</w:t>
      </w:r>
      <w:r w:rsidRPr="001D3023" w:rsidR="0078033D">
        <w:rPr>
          <w:color w:val="auto"/>
        </w:rPr>
        <w:t xml:space="preserve">tandardisation to adapt and </w:t>
      </w:r>
      <w:r w:rsidR="00F70592">
        <w:rPr>
          <w:color w:val="auto"/>
        </w:rPr>
        <w:t>flesh out</w:t>
      </w:r>
      <w:r w:rsidRPr="001D3023" w:rsidR="00F70592">
        <w:rPr>
          <w:color w:val="auto"/>
        </w:rPr>
        <w:t xml:space="preserve"> </w:t>
      </w:r>
      <w:r w:rsidRPr="001D3023" w:rsidR="0078033D">
        <w:rPr>
          <w:color w:val="auto"/>
        </w:rPr>
        <w:t>the details of how they can be achieved</w:t>
      </w:r>
      <w:r w:rsidR="00472353">
        <w:rPr>
          <w:color w:val="auto"/>
        </w:rPr>
        <w:t xml:space="preserve"> – </w:t>
      </w:r>
      <w:r w:rsidRPr="001D3023" w:rsidR="0078033D">
        <w:rPr>
          <w:color w:val="auto"/>
        </w:rPr>
        <w:t>has worked well</w:t>
      </w:r>
      <w:r w:rsidR="0078033D">
        <w:rPr>
          <w:color w:val="auto"/>
        </w:rPr>
        <w:t>. In its current form</w:t>
      </w:r>
      <w:r w:rsidR="00F70592">
        <w:rPr>
          <w:color w:val="auto"/>
        </w:rPr>
        <w:t>,</w:t>
      </w:r>
      <w:r w:rsidR="0078033D">
        <w:rPr>
          <w:color w:val="auto"/>
        </w:rPr>
        <w:t xml:space="preserve"> the Directive </w:t>
      </w:r>
      <w:r w:rsidRPr="001D3023" w:rsidR="0078033D">
        <w:rPr>
          <w:color w:val="auto"/>
        </w:rPr>
        <w:t xml:space="preserve">makes a </w:t>
      </w:r>
      <w:r w:rsidR="0078033D">
        <w:rPr>
          <w:color w:val="auto"/>
        </w:rPr>
        <w:t>significant</w:t>
      </w:r>
      <w:r w:rsidRPr="001D3023" w:rsidR="0078033D">
        <w:rPr>
          <w:color w:val="auto"/>
        </w:rPr>
        <w:t xml:space="preserve"> contribution to the safety of workers as well as </w:t>
      </w:r>
      <w:r w:rsidR="0057545E">
        <w:rPr>
          <w:color w:val="auto"/>
        </w:rPr>
        <w:t xml:space="preserve">to </w:t>
      </w:r>
      <w:r w:rsidRPr="001D3023" w:rsidR="0078033D">
        <w:rPr>
          <w:color w:val="auto"/>
        </w:rPr>
        <w:t xml:space="preserve">revenue contributions for EU manufacturers </w:t>
      </w:r>
      <w:r w:rsidRPr="001D3023">
        <w:rPr>
          <w:color w:val="auto"/>
        </w:rPr>
        <w:t xml:space="preserve">and it </w:t>
      </w:r>
      <w:r w:rsidR="0057545E">
        <w:rPr>
          <w:color w:val="auto"/>
        </w:rPr>
        <w:t>is</w:t>
      </w:r>
      <w:r w:rsidRPr="001D3023">
        <w:rPr>
          <w:color w:val="auto"/>
        </w:rPr>
        <w:t xml:space="preserve"> </w:t>
      </w:r>
      <w:r w:rsidR="00C76D4E">
        <w:rPr>
          <w:color w:val="auto"/>
        </w:rPr>
        <w:t>questiona</w:t>
      </w:r>
      <w:r w:rsidR="004E55D8">
        <w:rPr>
          <w:color w:val="auto"/>
        </w:rPr>
        <w:t>ble</w:t>
      </w:r>
      <w:r w:rsidRPr="001D3023">
        <w:rPr>
          <w:color w:val="auto"/>
        </w:rPr>
        <w:t xml:space="preserve"> </w:t>
      </w:r>
      <w:r w:rsidR="0057545E">
        <w:rPr>
          <w:color w:val="auto"/>
        </w:rPr>
        <w:t>whether</w:t>
      </w:r>
      <w:r w:rsidRPr="001D3023" w:rsidR="0057545E">
        <w:rPr>
          <w:color w:val="auto"/>
        </w:rPr>
        <w:t xml:space="preserve"> </w:t>
      </w:r>
      <w:r w:rsidRPr="001D3023">
        <w:rPr>
          <w:color w:val="auto"/>
        </w:rPr>
        <w:t xml:space="preserve">changes </w:t>
      </w:r>
      <w:r w:rsidR="0057545E">
        <w:rPr>
          <w:color w:val="auto"/>
        </w:rPr>
        <w:t>to</w:t>
      </w:r>
      <w:r>
        <w:rPr>
          <w:color w:val="auto"/>
        </w:rPr>
        <w:t xml:space="preserve"> the Essential Health and Safety Requirements </w:t>
      </w:r>
      <w:r w:rsidR="009E23A5">
        <w:rPr>
          <w:color w:val="auto"/>
        </w:rPr>
        <w:t xml:space="preserve">(EHSR) </w:t>
      </w:r>
      <w:r>
        <w:rPr>
          <w:color w:val="auto"/>
        </w:rPr>
        <w:t xml:space="preserve">in Annex I </w:t>
      </w:r>
      <w:r w:rsidR="0057545E">
        <w:rPr>
          <w:color w:val="auto"/>
        </w:rPr>
        <w:t>should be</w:t>
      </w:r>
      <w:r w:rsidRPr="001D3023" w:rsidR="0057545E">
        <w:rPr>
          <w:color w:val="auto"/>
        </w:rPr>
        <w:t xml:space="preserve"> </w:t>
      </w:r>
      <w:r w:rsidRPr="001D3023">
        <w:rPr>
          <w:color w:val="auto"/>
        </w:rPr>
        <w:t>made</w:t>
      </w:r>
      <w:r w:rsidR="0078033D">
        <w:rPr>
          <w:color w:val="auto"/>
        </w:rPr>
        <w:t xml:space="preserve"> unless </w:t>
      </w:r>
      <w:r w:rsidR="004E55D8">
        <w:rPr>
          <w:color w:val="auto"/>
        </w:rPr>
        <w:t xml:space="preserve">considered </w:t>
      </w:r>
      <w:r w:rsidR="0078033D">
        <w:rPr>
          <w:color w:val="auto"/>
        </w:rPr>
        <w:t xml:space="preserve">indispensable by both sides of industry and </w:t>
      </w:r>
      <w:r w:rsidR="0057545E">
        <w:rPr>
          <w:color w:val="auto"/>
        </w:rPr>
        <w:t xml:space="preserve">by the </w:t>
      </w:r>
      <w:r w:rsidR="0078033D">
        <w:rPr>
          <w:color w:val="auto"/>
        </w:rPr>
        <w:t>public authorities.</w:t>
      </w:r>
      <w:r w:rsidRPr="001D3023" w:rsidR="004C62E1">
        <w:rPr>
          <w:color w:val="auto"/>
        </w:rPr>
        <w:t xml:space="preserve"> </w:t>
      </w:r>
      <w:r w:rsidRPr="00AB7CED" w:rsidR="006F07CB">
        <w:rPr>
          <w:color w:val="auto"/>
        </w:rPr>
        <w:t xml:space="preserve">As the REFIT programme </w:t>
      </w:r>
      <w:r w:rsidR="00F70592">
        <w:rPr>
          <w:color w:val="auto"/>
        </w:rPr>
        <w:t>calls for</w:t>
      </w:r>
      <w:r w:rsidRPr="00AB7CED" w:rsidR="00F70592">
        <w:rPr>
          <w:color w:val="auto"/>
        </w:rPr>
        <w:t xml:space="preserve"> </w:t>
      </w:r>
      <w:r w:rsidRPr="00AB7CED" w:rsidR="006F07CB">
        <w:rPr>
          <w:color w:val="auto"/>
        </w:rPr>
        <w:t xml:space="preserve">modifying legislation only on the basis of careful evaluation rooted in facts and substantial evidence, the EESC </w:t>
      </w:r>
      <w:r w:rsidR="000B6471">
        <w:rPr>
          <w:color w:val="auto"/>
        </w:rPr>
        <w:t>recommends</w:t>
      </w:r>
      <w:r w:rsidRPr="00AB7CED" w:rsidR="006F07CB">
        <w:rPr>
          <w:color w:val="auto"/>
        </w:rPr>
        <w:t xml:space="preserve"> </w:t>
      </w:r>
      <w:r w:rsidR="0057545E">
        <w:rPr>
          <w:color w:val="auto"/>
        </w:rPr>
        <w:t xml:space="preserve">that </w:t>
      </w:r>
      <w:r w:rsidRPr="00AB7CED" w:rsidR="006F07CB">
        <w:rPr>
          <w:color w:val="auto"/>
        </w:rPr>
        <w:t xml:space="preserve">the Commission </w:t>
      </w:r>
      <w:r w:rsidR="00D0153E">
        <w:rPr>
          <w:color w:val="auto"/>
        </w:rPr>
        <w:t>collect and assess</w:t>
      </w:r>
      <w:r w:rsidRPr="006F07CB" w:rsidR="006F07CB">
        <w:rPr>
          <w:i/>
          <w:iCs/>
          <w:color w:val="auto"/>
        </w:rPr>
        <w:t xml:space="preserve"> facts and concrete case studies</w:t>
      </w:r>
      <w:r w:rsidR="006F07CB">
        <w:rPr>
          <w:i/>
          <w:iCs/>
          <w:color w:val="auto"/>
        </w:rPr>
        <w:t xml:space="preserve"> before proposing changes</w:t>
      </w:r>
      <w:r w:rsidR="006F07CB">
        <w:rPr>
          <w:color w:val="auto"/>
        </w:rPr>
        <w:t xml:space="preserve">, </w:t>
      </w:r>
      <w:r w:rsidRPr="00AB7CED" w:rsidR="006F07CB">
        <w:rPr>
          <w:color w:val="auto"/>
        </w:rPr>
        <w:t>mak</w:t>
      </w:r>
      <w:r w:rsidR="006F07CB">
        <w:rPr>
          <w:color w:val="auto"/>
        </w:rPr>
        <w:t>ing</w:t>
      </w:r>
      <w:r w:rsidRPr="00AB7CED" w:rsidR="006F07CB">
        <w:rPr>
          <w:color w:val="auto"/>
        </w:rPr>
        <w:t xml:space="preserve"> </w:t>
      </w:r>
      <w:r w:rsidR="00F70592">
        <w:rPr>
          <w:color w:val="auto"/>
        </w:rPr>
        <w:t>optimum</w:t>
      </w:r>
      <w:r w:rsidRPr="00AB7CED" w:rsidR="006F07CB">
        <w:rPr>
          <w:color w:val="auto"/>
        </w:rPr>
        <w:t xml:space="preserve"> use of the knowledge and experience available from a wide range of stakeholders</w:t>
      </w:r>
      <w:r w:rsidR="006F07CB">
        <w:rPr>
          <w:color w:val="auto"/>
        </w:rPr>
        <w:t>.</w:t>
      </w:r>
    </w:p>
    <w:p w:rsidR="006F07CB" w:rsidP="006F07CB" w:rsidRDefault="006F07CB" w14:paraId="008B3504" w14:textId="77777777">
      <w:pPr>
        <w:pStyle w:val="Heading2"/>
        <w:numPr>
          <w:ilvl w:val="0"/>
          <w:numId w:val="0"/>
        </w:numPr>
        <w:ind w:left="576"/>
        <w:textAlignment w:val="auto"/>
        <w:rPr>
          <w:color w:val="auto"/>
        </w:rPr>
      </w:pPr>
    </w:p>
    <w:p w:rsidR="00343754" w:rsidP="00895159" w:rsidRDefault="00343754" w14:paraId="777D97E4" w14:textId="3B26151F">
      <w:pPr>
        <w:pStyle w:val="Heading2"/>
        <w:numPr>
          <w:ilvl w:val="1"/>
          <w:numId w:val="47"/>
        </w:numPr>
        <w:textAlignment w:val="auto"/>
        <w:rPr>
          <w:color w:val="auto"/>
        </w:rPr>
      </w:pPr>
      <w:r w:rsidRPr="006C04B6">
        <w:rPr>
          <w:color w:val="auto"/>
        </w:rPr>
        <w:t xml:space="preserve">The EESC </w:t>
      </w:r>
      <w:r w:rsidRPr="006C04B6" w:rsidR="000B6471">
        <w:rPr>
          <w:color w:val="auto"/>
        </w:rPr>
        <w:t>recommends</w:t>
      </w:r>
      <w:r w:rsidRPr="006C04B6">
        <w:rPr>
          <w:color w:val="auto"/>
        </w:rPr>
        <w:t xml:space="preserve"> not revising the Machinery Directive (articles or annexes) to attempt to cover </w:t>
      </w:r>
      <w:r w:rsidRPr="006C04B6" w:rsidR="000917B9">
        <w:rPr>
          <w:color w:val="auto"/>
        </w:rPr>
        <w:t xml:space="preserve">technological </w:t>
      </w:r>
      <w:r w:rsidRPr="006C04B6">
        <w:rPr>
          <w:color w:val="auto"/>
        </w:rPr>
        <w:t xml:space="preserve">developments for which nobody can make sufficiently accurate forecasts. </w:t>
      </w:r>
      <w:r w:rsidRPr="006C04B6" w:rsidR="000917B9">
        <w:rPr>
          <w:color w:val="auto"/>
        </w:rPr>
        <w:t>T</w:t>
      </w:r>
      <w:r w:rsidRPr="006C04B6">
        <w:rPr>
          <w:color w:val="auto"/>
        </w:rPr>
        <w:t xml:space="preserve">he </w:t>
      </w:r>
      <w:r w:rsidRPr="006C04B6" w:rsidR="000917B9">
        <w:rPr>
          <w:color w:val="auto"/>
        </w:rPr>
        <w:t>Directive</w:t>
      </w:r>
      <w:r w:rsidR="0057545E">
        <w:rPr>
          <w:color w:val="auto"/>
        </w:rPr>
        <w:t>'</w:t>
      </w:r>
      <w:r w:rsidRPr="006C04B6" w:rsidR="000917B9">
        <w:rPr>
          <w:color w:val="auto"/>
        </w:rPr>
        <w:t>s</w:t>
      </w:r>
      <w:r w:rsidRPr="006C04B6">
        <w:rPr>
          <w:color w:val="auto"/>
        </w:rPr>
        <w:t xml:space="preserve"> health and safety requirement duties on the manufacturer deal adequately with </w:t>
      </w:r>
      <w:r w:rsidRPr="006C04B6" w:rsidR="000917B9">
        <w:rPr>
          <w:color w:val="auto"/>
        </w:rPr>
        <w:t>d</w:t>
      </w:r>
      <w:r w:rsidRPr="006C04B6">
        <w:rPr>
          <w:color w:val="auto"/>
        </w:rPr>
        <w:t>eveloping technologies</w:t>
      </w:r>
      <w:r w:rsidRPr="006C04B6" w:rsidR="000917B9">
        <w:rPr>
          <w:color w:val="auto"/>
        </w:rPr>
        <w:t xml:space="preserve"> </w:t>
      </w:r>
      <w:r w:rsidR="009D23CE">
        <w:rPr>
          <w:color w:val="auto"/>
        </w:rPr>
        <w:t xml:space="preserve">such as </w:t>
      </w:r>
      <w:r w:rsidRPr="006C04B6">
        <w:rPr>
          <w:color w:val="auto"/>
        </w:rPr>
        <w:t xml:space="preserve">self-learning algorithms and robotics that are designed to work within safe boundaries and </w:t>
      </w:r>
      <w:r w:rsidRPr="006C04B6" w:rsidR="000917B9">
        <w:rPr>
          <w:color w:val="auto"/>
        </w:rPr>
        <w:t xml:space="preserve">predetermined </w:t>
      </w:r>
      <w:r w:rsidRPr="006C04B6">
        <w:rPr>
          <w:color w:val="auto"/>
        </w:rPr>
        <w:t>operational envelopes</w:t>
      </w:r>
      <w:r w:rsidR="00F70592">
        <w:rPr>
          <w:color w:val="auto"/>
        </w:rPr>
        <w:t>,</w:t>
      </w:r>
      <w:r w:rsidRPr="006C04B6">
        <w:rPr>
          <w:color w:val="auto"/>
        </w:rPr>
        <w:t xml:space="preserve"> as they can go through the </w:t>
      </w:r>
      <w:r w:rsidRPr="00343754" w:rsidR="009E23A5">
        <w:rPr>
          <w:color w:val="auto"/>
        </w:rPr>
        <w:t>RA&amp;RR</w:t>
      </w:r>
      <w:r w:rsidRPr="006C04B6" w:rsidDel="009E23A5" w:rsidR="009E23A5">
        <w:rPr>
          <w:color w:val="auto"/>
        </w:rPr>
        <w:t xml:space="preserve"> </w:t>
      </w:r>
      <w:r w:rsidRPr="006C04B6">
        <w:rPr>
          <w:color w:val="auto"/>
        </w:rPr>
        <w:t xml:space="preserve">process before being placed on the market. </w:t>
      </w:r>
      <w:r w:rsidRPr="006C04B6" w:rsidR="000917B9">
        <w:rPr>
          <w:color w:val="auto"/>
        </w:rPr>
        <w:t xml:space="preserve">The EESC is aware of the many indicators pointing to </w:t>
      </w:r>
      <w:r w:rsidR="009D23CE">
        <w:rPr>
          <w:color w:val="auto"/>
        </w:rPr>
        <w:t xml:space="preserve">a call to </w:t>
      </w:r>
      <w:r w:rsidR="00D0153E">
        <w:rPr>
          <w:color w:val="auto"/>
        </w:rPr>
        <w:t>revise</w:t>
      </w:r>
      <w:r w:rsidRPr="006C04B6" w:rsidR="000917B9">
        <w:rPr>
          <w:color w:val="auto"/>
        </w:rPr>
        <w:t xml:space="preserve"> legislation to </w:t>
      </w:r>
      <w:r w:rsidRPr="006C04B6">
        <w:rPr>
          <w:color w:val="auto"/>
        </w:rPr>
        <w:t xml:space="preserve">cover unrealistic projections and untestable applications </w:t>
      </w:r>
      <w:r w:rsidR="009D23CE">
        <w:rPr>
          <w:color w:val="auto"/>
        </w:rPr>
        <w:t>such as</w:t>
      </w:r>
      <w:r w:rsidRPr="006C04B6" w:rsidR="009D23CE">
        <w:rPr>
          <w:color w:val="auto"/>
        </w:rPr>
        <w:t xml:space="preserve"> </w:t>
      </w:r>
      <w:r w:rsidRPr="006C04B6">
        <w:rPr>
          <w:color w:val="auto"/>
        </w:rPr>
        <w:t>autonomous robots able to learn without operating boundaries</w:t>
      </w:r>
      <w:r w:rsidR="00D0153E">
        <w:rPr>
          <w:color w:val="auto"/>
        </w:rPr>
        <w:t>:</w:t>
      </w:r>
      <w:r w:rsidRPr="006C04B6">
        <w:rPr>
          <w:color w:val="auto"/>
        </w:rPr>
        <w:t xml:space="preserve"> </w:t>
      </w:r>
      <w:r w:rsidRPr="006C04B6">
        <w:rPr>
          <w:i/>
          <w:iCs/>
          <w:color w:val="auto"/>
        </w:rPr>
        <w:t>for these products no risk assessment will be possible at the production phase as their future operation cannot be predicted, verified and validated.</w:t>
      </w:r>
      <w:r w:rsidRPr="006C04B6">
        <w:rPr>
          <w:color w:val="auto"/>
        </w:rPr>
        <w:t xml:space="preserve"> T</w:t>
      </w:r>
      <w:r w:rsidRPr="006C04B6" w:rsidR="000917B9">
        <w:rPr>
          <w:color w:val="auto"/>
        </w:rPr>
        <w:t>he safe</w:t>
      </w:r>
      <w:r w:rsidRPr="006C04B6">
        <w:rPr>
          <w:color w:val="auto"/>
        </w:rPr>
        <w:t xml:space="preserve"> control of such machines would require </w:t>
      </w:r>
      <w:r w:rsidRPr="006C04B6">
        <w:rPr>
          <w:i/>
          <w:iCs/>
          <w:color w:val="auto"/>
        </w:rPr>
        <w:t>adaptive or dynamic risk management</w:t>
      </w:r>
      <w:r w:rsidRPr="006C04B6">
        <w:rPr>
          <w:color w:val="auto"/>
        </w:rPr>
        <w:t xml:space="preserve"> methods that are incompatible </w:t>
      </w:r>
      <w:r w:rsidR="00661D0D">
        <w:rPr>
          <w:color w:val="auto"/>
        </w:rPr>
        <w:t xml:space="preserve">not only </w:t>
      </w:r>
      <w:r w:rsidRPr="006C04B6">
        <w:rPr>
          <w:color w:val="auto"/>
        </w:rPr>
        <w:t>with the current safe design approach of the Machinery Directive</w:t>
      </w:r>
      <w:r w:rsidR="00661D0D">
        <w:rPr>
          <w:color w:val="auto"/>
        </w:rPr>
        <w:t xml:space="preserve">, but also </w:t>
      </w:r>
      <w:r w:rsidR="004E55D8">
        <w:rPr>
          <w:color w:val="auto"/>
        </w:rPr>
        <w:t xml:space="preserve">with </w:t>
      </w:r>
      <w:r w:rsidR="00661D0D">
        <w:rPr>
          <w:color w:val="auto"/>
        </w:rPr>
        <w:t xml:space="preserve">the New Legislative Framework </w:t>
      </w:r>
      <w:r w:rsidR="000366AB">
        <w:rPr>
          <w:color w:val="auto"/>
        </w:rPr>
        <w:t xml:space="preserve">(NLF) </w:t>
      </w:r>
      <w:r w:rsidR="00661D0D">
        <w:rPr>
          <w:color w:val="auto"/>
        </w:rPr>
        <w:t xml:space="preserve">and the product safety philosophy of the European Union. </w:t>
      </w:r>
      <w:r w:rsidR="00D0153E">
        <w:rPr>
          <w:color w:val="auto"/>
        </w:rPr>
        <w:t xml:space="preserve">In other words, the Machinery Directive is perfectly able to differentiate </w:t>
      </w:r>
      <w:r w:rsidR="009D23CE">
        <w:rPr>
          <w:color w:val="auto"/>
        </w:rPr>
        <w:t xml:space="preserve">between </w:t>
      </w:r>
      <w:r w:rsidR="00D0153E">
        <w:rPr>
          <w:color w:val="auto"/>
        </w:rPr>
        <w:t>compliant and non-compliant digital applications by means of RA&amp;RR.</w:t>
      </w:r>
      <w:r w:rsidR="004E55D8">
        <w:rPr>
          <w:color w:val="auto"/>
        </w:rPr>
        <w:t xml:space="preserve"> At another level, </w:t>
      </w:r>
      <w:r w:rsidR="009D23CE">
        <w:rPr>
          <w:color w:val="auto"/>
        </w:rPr>
        <w:t>t</w:t>
      </w:r>
      <w:r w:rsidR="004E55D8">
        <w:rPr>
          <w:color w:val="auto"/>
        </w:rPr>
        <w:t xml:space="preserve">he EESC </w:t>
      </w:r>
      <w:r w:rsidR="000B6471">
        <w:rPr>
          <w:color w:val="auto"/>
        </w:rPr>
        <w:t>shares</w:t>
      </w:r>
      <w:r w:rsidR="004E55D8">
        <w:rPr>
          <w:color w:val="auto"/>
        </w:rPr>
        <w:t xml:space="preserve"> the European Commission</w:t>
      </w:r>
      <w:r w:rsidR="009D23CE">
        <w:rPr>
          <w:color w:val="auto"/>
        </w:rPr>
        <w:t>'</w:t>
      </w:r>
      <w:r w:rsidR="004E55D8">
        <w:rPr>
          <w:color w:val="auto"/>
        </w:rPr>
        <w:t xml:space="preserve">s concerns about the unexplainable nature of decisions taken by current machine learning systems, and therefore the </w:t>
      </w:r>
      <w:r w:rsidRPr="004E55D8" w:rsidR="004E55D8">
        <w:rPr>
          <w:i/>
          <w:iCs/>
          <w:color w:val="auto"/>
        </w:rPr>
        <w:t>impossibility</w:t>
      </w:r>
      <w:r w:rsidR="004E55D8">
        <w:rPr>
          <w:color w:val="auto"/>
        </w:rPr>
        <w:t xml:space="preserve"> </w:t>
      </w:r>
      <w:r w:rsidR="009D23CE">
        <w:rPr>
          <w:color w:val="auto"/>
        </w:rPr>
        <w:t>of</w:t>
      </w:r>
      <w:r w:rsidR="004E55D8">
        <w:rPr>
          <w:color w:val="auto"/>
        </w:rPr>
        <w:t xml:space="preserve"> track</w:t>
      </w:r>
      <w:r w:rsidR="009D23CE">
        <w:rPr>
          <w:color w:val="auto"/>
        </w:rPr>
        <w:t>ing</w:t>
      </w:r>
      <w:r w:rsidR="004E55D8">
        <w:rPr>
          <w:color w:val="auto"/>
        </w:rPr>
        <w:t xml:space="preserve"> back to the root causes of an incident or accident of a machine steered by a machine-learning system. </w:t>
      </w:r>
      <w:r w:rsidR="009D23CE">
        <w:rPr>
          <w:color w:val="auto"/>
        </w:rPr>
        <w:t>The fact that it is impossible</w:t>
      </w:r>
      <w:r w:rsidR="004E55D8">
        <w:rPr>
          <w:color w:val="auto"/>
        </w:rPr>
        <w:t xml:space="preserve"> to track back to the root causes seriously undermines the improvement cycle of safety based on the ex-post analysis of incidents or accidents.</w:t>
      </w:r>
    </w:p>
    <w:p w:rsidRPr="006C04B6" w:rsidR="006C04B6" w:rsidP="006C04B6" w:rsidRDefault="006C04B6" w14:paraId="283903EF" w14:textId="77777777"/>
    <w:p w:rsidRPr="001D3023" w:rsidR="00E43CAB" w:rsidP="00AC60F2" w:rsidRDefault="00F7297A" w14:paraId="2E58C1D1" w14:textId="262BD45B">
      <w:pPr>
        <w:pStyle w:val="Heading2"/>
        <w:numPr>
          <w:ilvl w:val="1"/>
          <w:numId w:val="47"/>
        </w:numPr>
        <w:textAlignment w:val="auto"/>
        <w:rPr>
          <w:color w:val="auto"/>
        </w:rPr>
      </w:pPr>
      <w:r>
        <w:rPr>
          <w:color w:val="auto"/>
        </w:rPr>
        <w:t xml:space="preserve">Insofar </w:t>
      </w:r>
      <w:r w:rsidR="009D23CE">
        <w:rPr>
          <w:color w:val="auto"/>
        </w:rPr>
        <w:t xml:space="preserve">as </w:t>
      </w:r>
      <w:r>
        <w:rPr>
          <w:color w:val="auto"/>
        </w:rPr>
        <w:t xml:space="preserve">its technical rules mainly relate to protection of users, the Machinery Directive is </w:t>
      </w:r>
      <w:r w:rsidRPr="001D3023" w:rsidR="00E43CAB">
        <w:rPr>
          <w:color w:val="auto"/>
        </w:rPr>
        <w:t>also</w:t>
      </w:r>
      <w:r>
        <w:rPr>
          <w:color w:val="auto"/>
        </w:rPr>
        <w:t xml:space="preserve"> a social measure </w:t>
      </w:r>
      <w:r w:rsidR="00E342EC">
        <w:rPr>
          <w:color w:val="auto"/>
        </w:rPr>
        <w:t xml:space="preserve">intended </w:t>
      </w:r>
      <w:r>
        <w:rPr>
          <w:color w:val="auto"/>
        </w:rPr>
        <w:t xml:space="preserve">to promote the health and safety of individuals. </w:t>
      </w:r>
      <w:r w:rsidR="00847115">
        <w:rPr>
          <w:color w:val="auto"/>
        </w:rPr>
        <w:t>T</w:t>
      </w:r>
      <w:r w:rsidRPr="00847115" w:rsidR="00847115">
        <w:rPr>
          <w:color w:val="auto"/>
        </w:rPr>
        <w:t>he economic and social operators who</w:t>
      </w:r>
      <w:r w:rsidR="00E342EC">
        <w:rPr>
          <w:color w:val="auto"/>
        </w:rPr>
        <w:t>,</w:t>
      </w:r>
      <w:r w:rsidRPr="00847115" w:rsidR="00847115">
        <w:rPr>
          <w:color w:val="auto"/>
        </w:rPr>
        <w:t xml:space="preserve"> in the late 1980s</w:t>
      </w:r>
      <w:r w:rsidR="00E342EC">
        <w:rPr>
          <w:color w:val="auto"/>
        </w:rPr>
        <w:t>,</w:t>
      </w:r>
      <w:r w:rsidRPr="00847115" w:rsidR="00847115">
        <w:rPr>
          <w:color w:val="auto"/>
        </w:rPr>
        <w:t xml:space="preserve"> negotiated what </w:t>
      </w:r>
      <w:r w:rsidR="00E342EC">
        <w:rPr>
          <w:color w:val="auto"/>
        </w:rPr>
        <w:t>was to become</w:t>
      </w:r>
      <w:r w:rsidRPr="00847115" w:rsidR="00E342EC">
        <w:rPr>
          <w:color w:val="auto"/>
        </w:rPr>
        <w:t xml:space="preserve"> </w:t>
      </w:r>
      <w:r w:rsidRPr="00847115" w:rsidR="00847115">
        <w:rPr>
          <w:color w:val="auto"/>
        </w:rPr>
        <w:t xml:space="preserve">the Machinery Directive were in the same period also involved in drafting the prospective Framework Directive on the health and safety of workers. The fact that the two resulting directives, the Machinery Directive (89/392/EEC) and the Directive on the health and safety of workers (89/391/EEC), then appeared together in the Official Journal of the European Communities of 29 June 1989 signalled the desire – even the need – for safe integrated machinery design to complement the safe installation </w:t>
      </w:r>
      <w:r w:rsidR="00847115">
        <w:rPr>
          <w:color w:val="auto"/>
        </w:rPr>
        <w:t xml:space="preserve">and safe use </w:t>
      </w:r>
      <w:r w:rsidRPr="00847115" w:rsidR="00847115">
        <w:rPr>
          <w:color w:val="auto"/>
        </w:rPr>
        <w:t>of such machinery in the workplace.</w:t>
      </w:r>
      <w:r w:rsidR="00847115">
        <w:rPr>
          <w:color w:val="auto"/>
        </w:rPr>
        <w:t xml:space="preserve"> For this </w:t>
      </w:r>
      <w:r w:rsidR="00024AD5">
        <w:rPr>
          <w:color w:val="auto"/>
        </w:rPr>
        <w:t>reason,</w:t>
      </w:r>
      <w:r w:rsidR="00847115">
        <w:rPr>
          <w:color w:val="auto"/>
        </w:rPr>
        <w:t xml:space="preserve"> the EESC</w:t>
      </w:r>
      <w:r w:rsidR="000B6471">
        <w:rPr>
          <w:color w:val="auto"/>
        </w:rPr>
        <w:t xml:space="preserve"> invites </w:t>
      </w:r>
      <w:r w:rsidR="00847115">
        <w:rPr>
          <w:color w:val="auto"/>
        </w:rPr>
        <w:t xml:space="preserve">the Commission to multiply </w:t>
      </w:r>
      <w:r w:rsidR="00B5131A">
        <w:rPr>
          <w:color w:val="auto"/>
        </w:rPr>
        <w:t xml:space="preserve">its </w:t>
      </w:r>
      <w:r w:rsidR="00847115">
        <w:rPr>
          <w:color w:val="auto"/>
        </w:rPr>
        <w:t xml:space="preserve">efforts to </w:t>
      </w:r>
      <w:r w:rsidR="00024AD5">
        <w:rPr>
          <w:color w:val="auto"/>
        </w:rPr>
        <w:t>explain</w:t>
      </w:r>
      <w:r w:rsidR="00847115">
        <w:rPr>
          <w:color w:val="auto"/>
        </w:rPr>
        <w:t xml:space="preserve"> the connection between the two directives </w:t>
      </w:r>
      <w:r w:rsidR="0092042B">
        <w:rPr>
          <w:color w:val="auto"/>
        </w:rPr>
        <w:t xml:space="preserve">on </w:t>
      </w:r>
      <w:r w:rsidR="00847115">
        <w:rPr>
          <w:color w:val="auto"/>
        </w:rPr>
        <w:t>safe design and safe use.</w:t>
      </w:r>
    </w:p>
    <w:p w:rsidRPr="00E43CAB" w:rsidR="00E43CAB" w:rsidP="00E43CAB" w:rsidRDefault="00E43CAB" w14:paraId="1E10282C" w14:textId="77777777"/>
    <w:p w:rsidR="0027723D" w:rsidP="008C6887" w:rsidRDefault="00BB5AF5" w14:paraId="6CE1F121" w14:textId="7EB48267">
      <w:pPr>
        <w:pStyle w:val="Heading2"/>
        <w:numPr>
          <w:ilvl w:val="1"/>
          <w:numId w:val="47"/>
        </w:numPr>
        <w:textAlignment w:val="auto"/>
        <w:rPr>
          <w:color w:val="auto"/>
        </w:rPr>
      </w:pPr>
      <w:r w:rsidRPr="00BE340E">
        <w:t>Feedback</w:t>
      </w:r>
      <w:r w:rsidRPr="00115504">
        <w:t xml:space="preserve"> from users of machinery to both manufacturers and standard </w:t>
      </w:r>
      <w:r w:rsidRPr="00115504" w:rsidR="00B95549">
        <w:t xml:space="preserve">setters </w:t>
      </w:r>
      <w:r w:rsidRPr="00115504">
        <w:t xml:space="preserve">is needed for continuous improvement: </w:t>
      </w:r>
      <w:r w:rsidRPr="00115504" w:rsidR="00B95549">
        <w:t>this</w:t>
      </w:r>
      <w:r w:rsidRPr="00115504">
        <w:t xml:space="preserve"> </w:t>
      </w:r>
      <w:r w:rsidRPr="00115504" w:rsidR="0027723D">
        <w:t>should be explicitly mentioned in the Machinery Directive as</w:t>
      </w:r>
      <w:r w:rsidRPr="00115504" w:rsidR="007B52BD">
        <w:t xml:space="preserve"> an</w:t>
      </w:r>
      <w:r w:rsidRPr="00115504" w:rsidR="0027723D">
        <w:t xml:space="preserve"> indispensable tool to be applied by manufacturers during the mandatory risk assessment and risk reduction</w:t>
      </w:r>
      <w:r w:rsidRPr="00115504" w:rsidR="007B52BD">
        <w:t xml:space="preserve"> phase</w:t>
      </w:r>
      <w:r w:rsidRPr="00115504" w:rsidR="0027723D">
        <w:t>, incorporat</w:t>
      </w:r>
      <w:r w:rsidRPr="00115504" w:rsidR="00E342EC">
        <w:t>ing</w:t>
      </w:r>
      <w:r w:rsidRPr="00115504" w:rsidR="0027723D">
        <w:t xml:space="preserve"> the knowledge necessary to uncover all hazards associated </w:t>
      </w:r>
      <w:r w:rsidRPr="00115504" w:rsidR="00B95549">
        <w:t>with</w:t>
      </w:r>
      <w:r w:rsidRPr="00115504" w:rsidR="0027723D">
        <w:t xml:space="preserve"> the whole </w:t>
      </w:r>
      <w:r w:rsidRPr="00115504" w:rsidR="00B95549">
        <w:t>of the machine's</w:t>
      </w:r>
      <w:r w:rsidRPr="00115504" w:rsidR="0027723D">
        <w:t xml:space="preserve"> lifetime.</w:t>
      </w:r>
      <w:r w:rsidR="0027723D">
        <w:rPr>
          <w:color w:val="auto"/>
        </w:rPr>
        <w:t xml:space="preserve"> It is a fact that m</w:t>
      </w:r>
      <w:r w:rsidRPr="0027723D" w:rsidR="0027723D">
        <w:rPr>
          <w:color w:val="auto"/>
        </w:rPr>
        <w:t xml:space="preserve">achinery accident statistics </w:t>
      </w:r>
      <w:r w:rsidR="0027723D">
        <w:rPr>
          <w:color w:val="auto"/>
        </w:rPr>
        <w:t>show</w:t>
      </w:r>
      <w:r w:rsidRPr="0027723D" w:rsidR="0027723D">
        <w:rPr>
          <w:color w:val="auto"/>
        </w:rPr>
        <w:t xml:space="preserve"> </w:t>
      </w:r>
      <w:r w:rsidR="0027723D">
        <w:rPr>
          <w:color w:val="auto"/>
        </w:rPr>
        <w:t xml:space="preserve">how </w:t>
      </w:r>
      <w:r w:rsidRPr="0027723D" w:rsidR="0027723D">
        <w:rPr>
          <w:color w:val="auto"/>
        </w:rPr>
        <w:t xml:space="preserve">human factors are not perceived or incorporated by machinery designers as a fundamental and essential part of machinery design. In general, the need for functional design dominates the design process, but unfortunately functional design does not include the needs and limitations of the </w:t>
      </w:r>
      <w:r w:rsidR="007C0A6F">
        <w:rPr>
          <w:color w:val="auto"/>
        </w:rPr>
        <w:t xml:space="preserve">machine </w:t>
      </w:r>
      <w:r w:rsidRPr="0027723D" w:rsidR="0027723D">
        <w:rPr>
          <w:color w:val="auto"/>
        </w:rPr>
        <w:t xml:space="preserve">users as a fundamental part of the design process. During design, manufacturers should carry out task analyses to develop a clear understanding of how people will use, maintain and – obviously – misuse machines. </w:t>
      </w:r>
      <w:r w:rsidR="0027723D">
        <w:rPr>
          <w:color w:val="auto"/>
        </w:rPr>
        <w:t xml:space="preserve">In </w:t>
      </w:r>
      <w:r w:rsidR="00E342EC">
        <w:rPr>
          <w:color w:val="auto"/>
        </w:rPr>
        <w:t>practice,</w:t>
      </w:r>
      <w:r w:rsidR="0027723D">
        <w:rPr>
          <w:color w:val="auto"/>
        </w:rPr>
        <w:t xml:space="preserve"> o</w:t>
      </w:r>
      <w:r w:rsidRPr="0027723D" w:rsidR="0027723D">
        <w:rPr>
          <w:color w:val="auto"/>
        </w:rPr>
        <w:t xml:space="preserve">nly experience can uncover the hazards associated with normal use, </w:t>
      </w:r>
      <w:r w:rsidR="007C0A6F">
        <w:rPr>
          <w:color w:val="auto"/>
        </w:rPr>
        <w:t xml:space="preserve">the </w:t>
      </w:r>
      <w:r w:rsidRPr="0027723D" w:rsidR="0027723D">
        <w:rPr>
          <w:color w:val="auto"/>
        </w:rPr>
        <w:t xml:space="preserve">unintended behaviour of operators and the reasonably foreseeable misuse of the </w:t>
      </w:r>
      <w:r w:rsidRPr="0027723D" w:rsidR="00024AD5">
        <w:rPr>
          <w:color w:val="auto"/>
        </w:rPr>
        <w:t>machine.</w:t>
      </w:r>
      <w:r w:rsidRPr="0027723D" w:rsidR="0027723D">
        <w:rPr>
          <w:color w:val="auto"/>
        </w:rPr>
        <w:t xml:space="preserve"> </w:t>
      </w:r>
    </w:p>
    <w:p w:rsidRPr="00665048" w:rsidR="00665048" w:rsidP="00665048" w:rsidRDefault="00665048" w14:paraId="32EC7454" w14:textId="77777777"/>
    <w:p w:rsidRPr="00FB73D2" w:rsidR="004C62E1" w:rsidP="004C62E1" w:rsidRDefault="00A81F46" w14:paraId="34377F60" w14:textId="2CD1975F">
      <w:pPr>
        <w:pStyle w:val="Heading2"/>
        <w:numPr>
          <w:ilvl w:val="1"/>
          <w:numId w:val="47"/>
        </w:numPr>
        <w:textAlignment w:val="auto"/>
        <w:rPr>
          <w:color w:val="auto"/>
        </w:rPr>
      </w:pPr>
      <w:r w:rsidRPr="00BE340E">
        <w:t>Ergonomic</w:t>
      </w:r>
      <w:r w:rsidRPr="00115504">
        <w:t xml:space="preserve"> problems caused by machinery that may result in chronic illness tend not to be identified and investigated.</w:t>
      </w:r>
      <w:r>
        <w:rPr>
          <w:color w:val="auto"/>
        </w:rPr>
        <w:t xml:space="preserve"> </w:t>
      </w:r>
      <w:r w:rsidRPr="000366AB" w:rsidR="000366AB">
        <w:rPr>
          <w:color w:val="auto"/>
        </w:rPr>
        <w:t>This issue has been debated in both the ADCO and the</w:t>
      </w:r>
      <w:r w:rsidR="000366AB">
        <w:rPr>
          <w:color w:val="auto"/>
        </w:rPr>
        <w:t xml:space="preserve"> Machinery Directive Working Group</w:t>
      </w:r>
      <w:r w:rsidRPr="000366AB" w:rsidR="000366AB">
        <w:rPr>
          <w:color w:val="auto"/>
        </w:rPr>
        <w:t xml:space="preserve"> but mainly </w:t>
      </w:r>
      <w:r w:rsidR="00E342EC">
        <w:rPr>
          <w:color w:val="auto"/>
        </w:rPr>
        <w:t>with</w:t>
      </w:r>
      <w:r w:rsidRPr="000366AB" w:rsidR="00E342EC">
        <w:rPr>
          <w:color w:val="auto"/>
        </w:rPr>
        <w:t xml:space="preserve"> </w:t>
      </w:r>
      <w:r w:rsidRPr="000366AB" w:rsidR="000366AB">
        <w:rPr>
          <w:color w:val="auto"/>
        </w:rPr>
        <w:t xml:space="preserve">respect to visibility and the design of controls on </w:t>
      </w:r>
      <w:r w:rsidR="000366AB">
        <w:rPr>
          <w:color w:val="auto"/>
        </w:rPr>
        <w:t>mobile machinery</w:t>
      </w:r>
      <w:r w:rsidRPr="000366AB" w:rsidR="000366AB">
        <w:rPr>
          <w:color w:val="auto"/>
        </w:rPr>
        <w:t xml:space="preserve"> where people have been </w:t>
      </w:r>
      <w:r w:rsidR="000366AB">
        <w:rPr>
          <w:color w:val="auto"/>
        </w:rPr>
        <w:t xml:space="preserve">hit or </w:t>
      </w:r>
      <w:r w:rsidRPr="000366AB" w:rsidR="000366AB">
        <w:rPr>
          <w:color w:val="auto"/>
        </w:rPr>
        <w:t xml:space="preserve">crushed. </w:t>
      </w:r>
      <w:r w:rsidR="000366AB">
        <w:rPr>
          <w:color w:val="auto"/>
        </w:rPr>
        <w:t>T</w:t>
      </w:r>
      <w:r w:rsidRPr="000366AB" w:rsidR="000366AB">
        <w:rPr>
          <w:color w:val="auto"/>
        </w:rPr>
        <w:t xml:space="preserve">he issues that have </w:t>
      </w:r>
      <w:r w:rsidR="007C0A6F">
        <w:rPr>
          <w:color w:val="auto"/>
        </w:rPr>
        <w:t>given rise to</w:t>
      </w:r>
      <w:r w:rsidRPr="000366AB" w:rsidR="007C0A6F">
        <w:rPr>
          <w:color w:val="auto"/>
        </w:rPr>
        <w:t xml:space="preserve"> </w:t>
      </w:r>
      <w:r w:rsidRPr="000366AB" w:rsidR="000366AB">
        <w:rPr>
          <w:color w:val="auto"/>
        </w:rPr>
        <w:t xml:space="preserve">discussion are </w:t>
      </w:r>
      <w:r w:rsidR="007C0A6F">
        <w:rPr>
          <w:color w:val="auto"/>
        </w:rPr>
        <w:t>"</w:t>
      </w:r>
      <w:r w:rsidRPr="000366AB" w:rsidR="000366AB">
        <w:rPr>
          <w:color w:val="auto"/>
        </w:rPr>
        <w:t>acute</w:t>
      </w:r>
      <w:r w:rsidR="007C0A6F">
        <w:rPr>
          <w:color w:val="auto"/>
        </w:rPr>
        <w:t>"</w:t>
      </w:r>
      <w:r w:rsidRPr="000366AB" w:rsidR="000366AB">
        <w:rPr>
          <w:color w:val="auto"/>
        </w:rPr>
        <w:t xml:space="preserve"> risks that will have been subject to accident investigations. </w:t>
      </w:r>
      <w:r w:rsidRPr="00115504" w:rsidR="007C0A6F">
        <w:t>L</w:t>
      </w:r>
      <w:r w:rsidRPr="00115504" w:rsidR="000366AB">
        <w:t xml:space="preserve">ack of resources and political pressure at both EU and national level have resulted in </w:t>
      </w:r>
      <w:r w:rsidRPr="00115504" w:rsidR="007C0A6F">
        <w:t>m</w:t>
      </w:r>
      <w:r w:rsidRPr="00115504" w:rsidR="000366AB">
        <w:t xml:space="preserve">arket </w:t>
      </w:r>
      <w:r w:rsidRPr="00115504" w:rsidR="007C0A6F">
        <w:t>s</w:t>
      </w:r>
      <w:r w:rsidRPr="00115504" w:rsidR="000366AB">
        <w:t xml:space="preserve">urveillance </w:t>
      </w:r>
      <w:r w:rsidRPr="00115504" w:rsidR="007C0A6F">
        <w:t>a</w:t>
      </w:r>
      <w:r w:rsidRPr="00115504" w:rsidR="000366AB">
        <w:t xml:space="preserve">uthorities and </w:t>
      </w:r>
      <w:r w:rsidRPr="00115504" w:rsidR="007C0A6F">
        <w:t>l</w:t>
      </w:r>
      <w:r w:rsidRPr="00115504" w:rsidR="000366AB">
        <w:t xml:space="preserve">abour </w:t>
      </w:r>
      <w:r w:rsidRPr="00115504" w:rsidR="007C0A6F">
        <w:t>i</w:t>
      </w:r>
      <w:r w:rsidRPr="00115504" w:rsidR="000366AB">
        <w:t xml:space="preserve">nspectorates having to concentrate on risks identified in accident investigations at the expense of proactive work on the causes of chronic harm such as </w:t>
      </w:r>
      <w:r w:rsidRPr="00115504" w:rsidR="007C0A6F">
        <w:t>musculo</w:t>
      </w:r>
      <w:r w:rsidRPr="00115504" w:rsidR="000366AB">
        <w:t>skeletal problems</w:t>
      </w:r>
      <w:r w:rsidRPr="00115504" w:rsidR="00B8780B">
        <w:t xml:space="preserve">, </w:t>
      </w:r>
      <w:r w:rsidRPr="00115504" w:rsidR="00330DBC">
        <w:t xml:space="preserve">but also </w:t>
      </w:r>
      <w:r w:rsidRPr="00115504" w:rsidR="000366AB">
        <w:t>mental health</w:t>
      </w:r>
      <w:r w:rsidRPr="00115504" w:rsidR="00B8780B">
        <w:t xml:space="preserve"> and stress-related disorders</w:t>
      </w:r>
      <w:r w:rsidRPr="00115504" w:rsidR="00330DBC">
        <w:t xml:space="preserve"> which could be further affected by the introduction of collaborative AI technology</w:t>
      </w:r>
      <w:r w:rsidRPr="00115504" w:rsidR="00B8780B">
        <w:t xml:space="preserve">. </w:t>
      </w:r>
      <w:r w:rsidR="00B8780B">
        <w:rPr>
          <w:color w:val="auto"/>
        </w:rPr>
        <w:t>Therefore, t</w:t>
      </w:r>
      <w:r w:rsidRPr="00B8780B" w:rsidR="00B8780B">
        <w:rPr>
          <w:color w:val="auto"/>
        </w:rPr>
        <w:t xml:space="preserve">he revision of the Machinery Directive should </w:t>
      </w:r>
      <w:r w:rsidR="007C0A6F">
        <w:rPr>
          <w:color w:val="auto"/>
        </w:rPr>
        <w:t>provide an</w:t>
      </w:r>
      <w:r w:rsidRPr="00B8780B" w:rsidR="00B8780B">
        <w:rPr>
          <w:color w:val="auto"/>
        </w:rPr>
        <w:t xml:space="preserve"> opportunity to make it clear that the MACHEX Group (i.e. </w:t>
      </w:r>
      <w:r w:rsidR="00E342EC">
        <w:rPr>
          <w:color w:val="auto"/>
        </w:rPr>
        <w:t xml:space="preserve">the </w:t>
      </w:r>
      <w:r w:rsidR="007C0A6F">
        <w:rPr>
          <w:color w:val="auto"/>
        </w:rPr>
        <w:t>l</w:t>
      </w:r>
      <w:r w:rsidRPr="00B8780B" w:rsidR="00B8780B">
        <w:rPr>
          <w:color w:val="auto"/>
        </w:rPr>
        <w:t xml:space="preserve">abour </w:t>
      </w:r>
      <w:r w:rsidR="007C0A6F">
        <w:rPr>
          <w:color w:val="auto"/>
        </w:rPr>
        <w:t>i</w:t>
      </w:r>
      <w:r w:rsidRPr="00B8780B" w:rsidR="00B8780B">
        <w:rPr>
          <w:color w:val="auto"/>
        </w:rPr>
        <w:t>nspectors</w:t>
      </w:r>
      <w:r w:rsidR="00E342EC">
        <w:rPr>
          <w:color w:val="auto"/>
        </w:rPr>
        <w:t>'</w:t>
      </w:r>
      <w:r w:rsidRPr="00B8780B" w:rsidR="00B8780B">
        <w:rPr>
          <w:color w:val="auto"/>
        </w:rPr>
        <w:t xml:space="preserve"> group under DG Employment) are key to feed</w:t>
      </w:r>
      <w:r w:rsidR="007C0A6F">
        <w:rPr>
          <w:color w:val="auto"/>
        </w:rPr>
        <w:t>ing</w:t>
      </w:r>
      <w:r w:rsidRPr="00B8780B" w:rsidR="00B8780B">
        <w:rPr>
          <w:color w:val="auto"/>
        </w:rPr>
        <w:t xml:space="preserve"> information to </w:t>
      </w:r>
      <w:r w:rsidR="007C0A6F">
        <w:rPr>
          <w:color w:val="auto"/>
        </w:rPr>
        <w:t>m</w:t>
      </w:r>
      <w:r w:rsidRPr="00B8780B" w:rsidR="00B8780B">
        <w:rPr>
          <w:color w:val="auto"/>
        </w:rPr>
        <w:t xml:space="preserve">arket </w:t>
      </w:r>
      <w:r w:rsidR="007C0A6F">
        <w:rPr>
          <w:color w:val="auto"/>
        </w:rPr>
        <w:t>s</w:t>
      </w:r>
      <w:r w:rsidRPr="00B8780B" w:rsidR="00B8780B">
        <w:rPr>
          <w:color w:val="auto"/>
        </w:rPr>
        <w:t xml:space="preserve">urveillance </w:t>
      </w:r>
      <w:r w:rsidR="007C0A6F">
        <w:rPr>
          <w:color w:val="auto"/>
        </w:rPr>
        <w:t>a</w:t>
      </w:r>
      <w:r w:rsidRPr="00B8780B" w:rsidR="00B8780B">
        <w:rPr>
          <w:color w:val="auto"/>
        </w:rPr>
        <w:t xml:space="preserve">uthorities on problems </w:t>
      </w:r>
      <w:r w:rsidR="007C0A6F">
        <w:rPr>
          <w:color w:val="auto"/>
        </w:rPr>
        <w:t xml:space="preserve">arising </w:t>
      </w:r>
      <w:r w:rsidRPr="00B8780B" w:rsidR="00B8780B">
        <w:rPr>
          <w:color w:val="auto"/>
        </w:rPr>
        <w:t>in the use of machinery at work.</w:t>
      </w:r>
    </w:p>
    <w:p w:rsidRPr="006C04B6" w:rsidR="006C04B6" w:rsidP="006C04B6" w:rsidRDefault="006C04B6" w14:paraId="501E5CF1" w14:textId="77777777"/>
    <w:p w:rsidRPr="00082602" w:rsidR="00082602" w:rsidP="00082602" w:rsidRDefault="00082602" w14:paraId="37E065F0" w14:textId="0F50C9EE">
      <w:pPr>
        <w:pStyle w:val="Heading2"/>
        <w:numPr>
          <w:ilvl w:val="1"/>
          <w:numId w:val="47"/>
        </w:numPr>
        <w:rPr>
          <w:color w:val="auto"/>
        </w:rPr>
      </w:pPr>
      <w:r w:rsidRPr="00082602">
        <w:rPr>
          <w:color w:val="auto"/>
        </w:rPr>
        <w:t>At present the performance of market surveillance varie</w:t>
      </w:r>
      <w:r w:rsidR="00D526AF">
        <w:rPr>
          <w:color w:val="auto"/>
        </w:rPr>
        <w:t>s</w:t>
      </w:r>
      <w:r w:rsidRPr="00082602">
        <w:rPr>
          <w:color w:val="auto"/>
        </w:rPr>
        <w:t xml:space="preserve"> </w:t>
      </w:r>
      <w:r w:rsidR="00D526AF">
        <w:rPr>
          <w:color w:val="auto"/>
        </w:rPr>
        <w:t xml:space="preserve">widely </w:t>
      </w:r>
      <w:r w:rsidRPr="00082602">
        <w:rPr>
          <w:color w:val="auto"/>
        </w:rPr>
        <w:t xml:space="preserve">across the EU </w:t>
      </w:r>
      <w:r w:rsidR="00D526AF">
        <w:rPr>
          <w:color w:val="auto"/>
        </w:rPr>
        <w:t>M</w:t>
      </w:r>
      <w:r w:rsidRPr="00082602">
        <w:rPr>
          <w:color w:val="auto"/>
        </w:rPr>
        <w:t xml:space="preserve">ember </w:t>
      </w:r>
      <w:r w:rsidR="00D526AF">
        <w:rPr>
          <w:color w:val="auto"/>
        </w:rPr>
        <w:t>S</w:t>
      </w:r>
      <w:r w:rsidRPr="00082602">
        <w:rPr>
          <w:color w:val="auto"/>
        </w:rPr>
        <w:t xml:space="preserve">tates, </w:t>
      </w:r>
      <w:r w:rsidR="00D526AF">
        <w:rPr>
          <w:color w:val="auto"/>
        </w:rPr>
        <w:t>the</w:t>
      </w:r>
      <w:r w:rsidRPr="00082602" w:rsidR="00D526AF">
        <w:rPr>
          <w:color w:val="auto"/>
        </w:rPr>
        <w:t xml:space="preserve"> </w:t>
      </w:r>
      <w:r w:rsidRPr="00082602">
        <w:rPr>
          <w:color w:val="auto"/>
        </w:rPr>
        <w:t xml:space="preserve">majority </w:t>
      </w:r>
      <w:r w:rsidR="00D526AF">
        <w:rPr>
          <w:color w:val="auto"/>
        </w:rPr>
        <w:t xml:space="preserve">of which </w:t>
      </w:r>
      <w:r w:rsidRPr="00082602">
        <w:rPr>
          <w:color w:val="auto"/>
        </w:rPr>
        <w:t>carr</w:t>
      </w:r>
      <w:r w:rsidR="00D526AF">
        <w:rPr>
          <w:color w:val="auto"/>
        </w:rPr>
        <w:t>y</w:t>
      </w:r>
      <w:r w:rsidRPr="00082602">
        <w:rPr>
          <w:color w:val="auto"/>
        </w:rPr>
        <w:t xml:space="preserve"> out </w:t>
      </w:r>
      <w:r w:rsidR="00D526AF">
        <w:rPr>
          <w:color w:val="auto"/>
        </w:rPr>
        <w:t xml:space="preserve">very </w:t>
      </w:r>
      <w:r w:rsidRPr="00082602">
        <w:rPr>
          <w:color w:val="auto"/>
        </w:rPr>
        <w:t xml:space="preserve">little proactive work within the EU and at its borders. The EESC </w:t>
      </w:r>
      <w:r>
        <w:rPr>
          <w:color w:val="auto"/>
        </w:rPr>
        <w:t>WARNS</w:t>
      </w:r>
      <w:r w:rsidRPr="00082602">
        <w:rPr>
          <w:color w:val="auto"/>
        </w:rPr>
        <w:t xml:space="preserve"> that if insufficient controls and inspections are performed and there are no attempts to withdraw or ban specific machinery, this will (a) lead to a rise in the amount of defective machinery in circulation; (b) encourage non-conformity with the legislative requirements; (c) increase the likelihood of accidents and injury; </w:t>
      </w:r>
      <w:r w:rsidR="00D526AF">
        <w:rPr>
          <w:color w:val="auto"/>
        </w:rPr>
        <w:t xml:space="preserve">and </w:t>
      </w:r>
      <w:r w:rsidRPr="00082602">
        <w:rPr>
          <w:color w:val="auto"/>
        </w:rPr>
        <w:t xml:space="preserve">(d) create unfair competition </w:t>
      </w:r>
      <w:r w:rsidR="00D526AF">
        <w:rPr>
          <w:color w:val="auto"/>
        </w:rPr>
        <w:t>for</w:t>
      </w:r>
      <w:r w:rsidRPr="00082602" w:rsidR="00D526AF">
        <w:rPr>
          <w:color w:val="auto"/>
        </w:rPr>
        <w:t xml:space="preserve"> </w:t>
      </w:r>
      <w:r w:rsidRPr="00082602">
        <w:rPr>
          <w:color w:val="auto"/>
        </w:rPr>
        <w:t>law-abiding companies, plac</w:t>
      </w:r>
      <w:r w:rsidR="00D526AF">
        <w:rPr>
          <w:color w:val="auto"/>
        </w:rPr>
        <w:t>ing</w:t>
      </w:r>
      <w:r w:rsidRPr="00082602">
        <w:rPr>
          <w:color w:val="auto"/>
        </w:rPr>
        <w:t xml:space="preserve"> them and their workers at risk. In addition, insufficient surveillance will result in low-quality harmonised standards.</w:t>
      </w:r>
    </w:p>
    <w:p w:rsidRPr="0049778C" w:rsidR="00984F14" w:rsidP="00AB52B8" w:rsidRDefault="00984F14" w14:paraId="1F597AAD" w14:textId="05402B7F">
      <w:pPr>
        <w:pStyle w:val="Heading2"/>
        <w:numPr>
          <w:ilvl w:val="0"/>
          <w:numId w:val="0"/>
        </w:numPr>
        <w:textAlignment w:val="auto"/>
      </w:pPr>
    </w:p>
    <w:p w:rsidR="00A3454A" w:rsidP="00984F14" w:rsidRDefault="00984F14" w14:paraId="7D507B14" w14:textId="0B2E75E7">
      <w:pPr>
        <w:pStyle w:val="Heading2"/>
        <w:numPr>
          <w:ilvl w:val="1"/>
          <w:numId w:val="47"/>
        </w:numPr>
        <w:textAlignment w:val="auto"/>
        <w:rPr>
          <w:color w:val="auto"/>
        </w:rPr>
      </w:pPr>
      <w:r w:rsidRPr="00115504">
        <w:t xml:space="preserve">The EESC is aware that the concept of </w:t>
      </w:r>
      <w:r w:rsidRPr="00BE340E">
        <w:t>partly complete</w:t>
      </w:r>
      <w:r w:rsidRPr="00BE340E" w:rsidR="00C94364">
        <w:t>d</w:t>
      </w:r>
      <w:r w:rsidRPr="00BE340E">
        <w:t xml:space="preserve"> machinery</w:t>
      </w:r>
      <w:r w:rsidRPr="00115504">
        <w:t xml:space="preserve"> (PCM) was introduced for the first time in the current Directive.</w:t>
      </w:r>
      <w:r w:rsidRPr="00FB73D2">
        <w:rPr>
          <w:color w:val="auto"/>
        </w:rPr>
        <w:t xml:space="preserve"> Discussions with players who were involved in the negotiations of the Directive show it was not their inten</w:t>
      </w:r>
      <w:r>
        <w:rPr>
          <w:color w:val="auto"/>
        </w:rPr>
        <w:t>t</w:t>
      </w:r>
      <w:r w:rsidRPr="00FB73D2">
        <w:rPr>
          <w:color w:val="auto"/>
        </w:rPr>
        <w:t xml:space="preserve">ion that </w:t>
      </w:r>
      <w:r w:rsidR="00C94364">
        <w:rPr>
          <w:color w:val="auto"/>
        </w:rPr>
        <w:t>a partly completed machine</w:t>
      </w:r>
      <w:r w:rsidRPr="00FB73D2">
        <w:rPr>
          <w:color w:val="auto"/>
        </w:rPr>
        <w:t xml:space="preserve"> could be placed on the market with absolutely no </w:t>
      </w:r>
      <w:r w:rsidR="00C84E83">
        <w:rPr>
          <w:color w:val="auto"/>
        </w:rPr>
        <w:t>legal requirements</w:t>
      </w:r>
      <w:r w:rsidRPr="00FB73D2">
        <w:rPr>
          <w:color w:val="auto"/>
        </w:rPr>
        <w:t xml:space="preserve"> being addressed and passing all of the requirements on to the person/company installing the PCM, as is the current interpretation. </w:t>
      </w:r>
      <w:r>
        <w:rPr>
          <w:color w:val="auto"/>
        </w:rPr>
        <w:t xml:space="preserve">The EESC </w:t>
      </w:r>
      <w:r w:rsidR="000B6471">
        <w:rPr>
          <w:color w:val="auto"/>
        </w:rPr>
        <w:t>recommends</w:t>
      </w:r>
      <w:r>
        <w:rPr>
          <w:color w:val="auto"/>
        </w:rPr>
        <w:t xml:space="preserve"> </w:t>
      </w:r>
      <w:r w:rsidRPr="00FB73D2">
        <w:rPr>
          <w:color w:val="auto"/>
        </w:rPr>
        <w:t>that the revision of the M</w:t>
      </w:r>
      <w:r>
        <w:rPr>
          <w:color w:val="auto"/>
        </w:rPr>
        <w:t xml:space="preserve">achinery </w:t>
      </w:r>
      <w:r w:rsidRPr="00FB73D2">
        <w:rPr>
          <w:color w:val="auto"/>
        </w:rPr>
        <w:t>D</w:t>
      </w:r>
      <w:r>
        <w:rPr>
          <w:color w:val="auto"/>
        </w:rPr>
        <w:t>irective</w:t>
      </w:r>
      <w:r w:rsidRPr="00FB73D2">
        <w:rPr>
          <w:color w:val="auto"/>
        </w:rPr>
        <w:t xml:space="preserve"> </w:t>
      </w:r>
      <w:r>
        <w:rPr>
          <w:color w:val="auto"/>
        </w:rPr>
        <w:t xml:space="preserve">should </w:t>
      </w:r>
      <w:r w:rsidRPr="00FB73D2">
        <w:rPr>
          <w:color w:val="auto"/>
        </w:rPr>
        <w:t xml:space="preserve">require that </w:t>
      </w:r>
      <w:r w:rsidR="00DC1582">
        <w:rPr>
          <w:color w:val="auto"/>
        </w:rPr>
        <w:t xml:space="preserve">all the relevant EHSRs and risk reduction measures </w:t>
      </w:r>
      <w:r w:rsidR="00167792">
        <w:rPr>
          <w:color w:val="auto"/>
        </w:rPr>
        <w:t>be applied to any</w:t>
      </w:r>
      <w:r w:rsidR="00DC1582">
        <w:rPr>
          <w:color w:val="auto"/>
        </w:rPr>
        <w:t xml:space="preserve"> </w:t>
      </w:r>
      <w:r w:rsidRPr="00FB73D2">
        <w:rPr>
          <w:color w:val="auto"/>
        </w:rPr>
        <w:t>PCM placed on the market</w:t>
      </w:r>
      <w:r w:rsidR="00234D59">
        <w:rPr>
          <w:color w:val="auto"/>
        </w:rPr>
        <w:t>, as</w:t>
      </w:r>
      <w:r w:rsidRPr="00FB73D2">
        <w:rPr>
          <w:color w:val="auto"/>
        </w:rPr>
        <w:t xml:space="preserve"> detailed in the technical file, with the </w:t>
      </w:r>
      <w:r w:rsidR="00DC1582">
        <w:rPr>
          <w:color w:val="auto"/>
        </w:rPr>
        <w:t>exception</w:t>
      </w:r>
      <w:r w:rsidRPr="00FB73D2" w:rsidR="00DC1582">
        <w:rPr>
          <w:color w:val="auto"/>
        </w:rPr>
        <w:t xml:space="preserve"> </w:t>
      </w:r>
      <w:r w:rsidRPr="00FB73D2">
        <w:rPr>
          <w:color w:val="auto"/>
        </w:rPr>
        <w:t xml:space="preserve">of those that can only be applied as part of the process of combining the PCM to produce a </w:t>
      </w:r>
      <w:r w:rsidR="00234D59">
        <w:rPr>
          <w:color w:val="auto"/>
        </w:rPr>
        <w:t>m</w:t>
      </w:r>
      <w:r w:rsidRPr="00FB73D2">
        <w:rPr>
          <w:color w:val="auto"/>
        </w:rPr>
        <w:t xml:space="preserve">achine </w:t>
      </w:r>
      <w:r w:rsidR="00234D59">
        <w:rPr>
          <w:color w:val="auto"/>
        </w:rPr>
        <w:t>under the</w:t>
      </w:r>
      <w:r w:rsidRPr="00FB73D2" w:rsidR="00234D59">
        <w:rPr>
          <w:color w:val="auto"/>
        </w:rPr>
        <w:t xml:space="preserve"> </w:t>
      </w:r>
      <w:r w:rsidRPr="00FB73D2">
        <w:rPr>
          <w:color w:val="auto"/>
        </w:rPr>
        <w:t xml:space="preserve">scope of the Directive. Such a change would make it clear that a PCM is </w:t>
      </w:r>
      <w:r w:rsidR="00234D59">
        <w:rPr>
          <w:color w:val="auto"/>
        </w:rPr>
        <w:t>sufficiently close to being a machine to warrant being considered one,</w:t>
      </w:r>
      <w:r w:rsidRPr="00FB73D2">
        <w:rPr>
          <w:color w:val="auto"/>
        </w:rPr>
        <w:t xml:space="preserve"> </w:t>
      </w:r>
      <w:r w:rsidR="00234D59">
        <w:rPr>
          <w:color w:val="auto"/>
        </w:rPr>
        <w:t>as opposed to</w:t>
      </w:r>
      <w:r w:rsidRPr="00FB73D2">
        <w:rPr>
          <w:color w:val="auto"/>
        </w:rPr>
        <w:t xml:space="preserve"> just </w:t>
      </w:r>
      <w:r w:rsidR="00234D59">
        <w:rPr>
          <w:color w:val="auto"/>
        </w:rPr>
        <w:t>being</w:t>
      </w:r>
      <w:r w:rsidRPr="00FB73D2">
        <w:rPr>
          <w:color w:val="auto"/>
        </w:rPr>
        <w:t xml:space="preserve"> </w:t>
      </w:r>
      <w:r w:rsidR="00234D59">
        <w:rPr>
          <w:color w:val="auto"/>
        </w:rPr>
        <w:t>"</w:t>
      </w:r>
      <w:r w:rsidRPr="00FB73D2">
        <w:rPr>
          <w:color w:val="auto"/>
        </w:rPr>
        <w:t>part</w:t>
      </w:r>
      <w:r w:rsidR="00234D59">
        <w:rPr>
          <w:color w:val="auto"/>
        </w:rPr>
        <w:t>"</w:t>
      </w:r>
      <w:r w:rsidRPr="00FB73D2">
        <w:rPr>
          <w:color w:val="auto"/>
        </w:rPr>
        <w:t xml:space="preserve"> </w:t>
      </w:r>
      <w:r w:rsidR="00234D59">
        <w:rPr>
          <w:color w:val="auto"/>
        </w:rPr>
        <w:t xml:space="preserve">of a machine, </w:t>
      </w:r>
      <w:r w:rsidRPr="00FB73D2">
        <w:rPr>
          <w:color w:val="auto"/>
        </w:rPr>
        <w:t xml:space="preserve">and that it </w:t>
      </w:r>
      <w:r w:rsidR="00234D59">
        <w:rPr>
          <w:color w:val="auto"/>
        </w:rPr>
        <w:t xml:space="preserve">thus </w:t>
      </w:r>
      <w:r w:rsidRPr="00FB73D2">
        <w:rPr>
          <w:color w:val="auto"/>
        </w:rPr>
        <w:t xml:space="preserve">has a clear status that </w:t>
      </w:r>
      <w:r w:rsidR="00234D59">
        <w:rPr>
          <w:color w:val="auto"/>
        </w:rPr>
        <w:t xml:space="preserve">will </w:t>
      </w:r>
      <w:r w:rsidRPr="00FB73D2">
        <w:rPr>
          <w:color w:val="auto"/>
        </w:rPr>
        <w:t xml:space="preserve">help the installer </w:t>
      </w:r>
      <w:r w:rsidR="00234D59">
        <w:rPr>
          <w:color w:val="auto"/>
        </w:rPr>
        <w:t xml:space="preserve">to </w:t>
      </w:r>
      <w:r w:rsidRPr="00FB73D2">
        <w:rPr>
          <w:color w:val="auto"/>
        </w:rPr>
        <w:t xml:space="preserve">meet the requirements of the Directive. </w:t>
      </w:r>
    </w:p>
    <w:p w:rsidRPr="00BE340E" w:rsidR="00A3454A" w:rsidP="00BE340E" w:rsidRDefault="00A3454A" w14:paraId="106DD70B" w14:textId="77777777"/>
    <w:p w:rsidRPr="00A3454A" w:rsidR="00984F14" w:rsidRDefault="00984F14" w14:paraId="665F49E2" w14:textId="738F85A6">
      <w:pPr>
        <w:pStyle w:val="Heading2"/>
        <w:numPr>
          <w:ilvl w:val="1"/>
          <w:numId w:val="47"/>
        </w:numPr>
        <w:textAlignment w:val="auto"/>
        <w:rPr>
          <w:color w:val="auto"/>
        </w:rPr>
      </w:pPr>
      <w:r w:rsidRPr="00115504">
        <w:t xml:space="preserve">The concept of </w:t>
      </w:r>
      <w:r w:rsidRPr="00BE340E">
        <w:t>assemblies of machines</w:t>
      </w:r>
      <w:r w:rsidRPr="00115504">
        <w:t xml:space="preserve"> has </w:t>
      </w:r>
      <w:r w:rsidRPr="00115504" w:rsidR="00167792">
        <w:t xml:space="preserve">been a </w:t>
      </w:r>
      <w:r w:rsidRPr="00115504">
        <w:t xml:space="preserve">cause </w:t>
      </w:r>
      <w:r w:rsidRPr="00115504" w:rsidR="00167792">
        <w:t xml:space="preserve">for </w:t>
      </w:r>
      <w:r w:rsidRPr="00115504">
        <w:t xml:space="preserve">concern over the years and has been made more complicated by </w:t>
      </w:r>
      <w:r w:rsidRPr="00115504" w:rsidR="003334F1">
        <w:t xml:space="preserve">the </w:t>
      </w:r>
      <w:r w:rsidRPr="00115504">
        <w:t xml:space="preserve">modern computer-controlled operation of whole industrial sites. </w:t>
      </w:r>
      <w:r w:rsidRPr="00A3454A">
        <w:rPr>
          <w:color w:val="auto"/>
        </w:rPr>
        <w:t xml:space="preserve">Previously, each assembly had its own control panel, one </w:t>
      </w:r>
      <w:r w:rsidRPr="00A3454A" w:rsidR="003334F1">
        <w:rPr>
          <w:color w:val="auto"/>
        </w:rPr>
        <w:t xml:space="preserve">reason why </w:t>
      </w:r>
      <w:r w:rsidRPr="00A3454A">
        <w:rPr>
          <w:color w:val="auto"/>
        </w:rPr>
        <w:t>the Commission suggested demarcat</w:t>
      </w:r>
      <w:r w:rsidRPr="00A3454A" w:rsidR="003334F1">
        <w:rPr>
          <w:color w:val="auto"/>
        </w:rPr>
        <w:t>ing</w:t>
      </w:r>
      <w:r w:rsidRPr="00A3454A">
        <w:rPr>
          <w:color w:val="auto"/>
        </w:rPr>
        <w:t xml:space="preserve"> different assemblies in a factory site. </w:t>
      </w:r>
      <w:bookmarkStart w:name="_Hlk31721748" w:id="3"/>
      <w:r w:rsidRPr="00A3454A">
        <w:rPr>
          <w:color w:val="auto"/>
        </w:rPr>
        <w:t xml:space="preserve">The main worker safety issue is the control of risks caused by putting the assembly parts together </w:t>
      </w:r>
      <w:r w:rsidRPr="00A3454A" w:rsidR="003334F1">
        <w:rPr>
          <w:color w:val="auto"/>
        </w:rPr>
        <w:t xml:space="preserve">so </w:t>
      </w:r>
      <w:r w:rsidRPr="00A3454A">
        <w:rPr>
          <w:color w:val="auto"/>
        </w:rPr>
        <w:t xml:space="preserve">that extra guarding, crushing risks, sequencing of operation and isolation of operation are adequately addressed. </w:t>
      </w:r>
      <w:bookmarkEnd w:id="3"/>
      <w:r w:rsidRPr="00A3454A">
        <w:rPr>
          <w:color w:val="auto"/>
        </w:rPr>
        <w:t xml:space="preserve">The EESC </w:t>
      </w:r>
      <w:r w:rsidRPr="00A3454A" w:rsidR="000B6471">
        <w:rPr>
          <w:color w:val="auto"/>
        </w:rPr>
        <w:t>recommends</w:t>
      </w:r>
      <w:r w:rsidRPr="00A3454A">
        <w:rPr>
          <w:color w:val="auto"/>
        </w:rPr>
        <w:t xml:space="preserve"> formulating a revised definition that concentrates on defining an assembly by the interfaces and risks introduced between</w:t>
      </w:r>
      <w:r w:rsidRPr="00A3454A" w:rsidR="003334F1">
        <w:rPr>
          <w:color w:val="auto"/>
        </w:rPr>
        <w:t>,</w:t>
      </w:r>
      <w:r w:rsidRPr="00A3454A">
        <w:rPr>
          <w:color w:val="auto"/>
        </w:rPr>
        <w:t xml:space="preserve"> and </w:t>
      </w:r>
      <w:r w:rsidRPr="00A3454A" w:rsidR="003334F1">
        <w:rPr>
          <w:color w:val="auto"/>
        </w:rPr>
        <w:t>posed by,</w:t>
      </w:r>
      <w:r w:rsidRPr="00A3454A">
        <w:rPr>
          <w:color w:val="auto"/>
        </w:rPr>
        <w:t xml:space="preserve"> new items added. </w:t>
      </w:r>
    </w:p>
    <w:p w:rsidRPr="00C43FC3" w:rsidR="00C43FC3" w:rsidP="00C43FC3" w:rsidRDefault="00C43FC3" w14:paraId="70A24B66" w14:textId="77777777"/>
    <w:p w:rsidR="00A3454A" w:rsidP="00984F14" w:rsidRDefault="00984F14" w14:paraId="6F2E2CD7" w14:textId="27FD09B9">
      <w:pPr>
        <w:pStyle w:val="Heading2"/>
        <w:numPr>
          <w:ilvl w:val="1"/>
          <w:numId w:val="47"/>
        </w:numPr>
        <w:textAlignment w:val="auto"/>
        <w:rPr>
          <w:color w:val="auto"/>
        </w:rPr>
      </w:pPr>
      <w:r w:rsidRPr="00BE340E">
        <w:t>Refurbishment</w:t>
      </w:r>
      <w:r w:rsidRPr="00F2416C">
        <w:t xml:space="preserve"> of machinery does not require </w:t>
      </w:r>
      <w:r w:rsidRPr="00F2416C" w:rsidR="00264D1F">
        <w:t xml:space="preserve">a </w:t>
      </w:r>
      <w:r w:rsidRPr="00F2416C">
        <w:t>new conformity assessment and CE mark provided equivalent parts (</w:t>
      </w:r>
      <w:r w:rsidRPr="00F2416C" w:rsidR="000075BD">
        <w:t xml:space="preserve">these </w:t>
      </w:r>
      <w:r w:rsidRPr="00F2416C">
        <w:t xml:space="preserve">may be newer parts with improved safety </w:t>
      </w:r>
      <w:r w:rsidRPr="00F2416C" w:rsidR="000075BD">
        <w:t xml:space="preserve">features </w:t>
      </w:r>
      <w:r w:rsidRPr="00F2416C">
        <w:t xml:space="preserve">etc., but with the same function) are used. </w:t>
      </w:r>
      <w:r w:rsidRPr="00FB73D2">
        <w:rPr>
          <w:color w:val="auto"/>
        </w:rPr>
        <w:t xml:space="preserve">There is no agreement between </w:t>
      </w:r>
      <w:r w:rsidR="000075BD">
        <w:rPr>
          <w:color w:val="auto"/>
        </w:rPr>
        <w:t>M</w:t>
      </w:r>
      <w:r w:rsidRPr="00FB73D2">
        <w:rPr>
          <w:color w:val="auto"/>
        </w:rPr>
        <w:t xml:space="preserve">ember </w:t>
      </w:r>
      <w:r w:rsidR="000075BD">
        <w:rPr>
          <w:color w:val="auto"/>
        </w:rPr>
        <w:t>S</w:t>
      </w:r>
      <w:r w:rsidRPr="00FB73D2">
        <w:rPr>
          <w:color w:val="auto"/>
        </w:rPr>
        <w:t xml:space="preserve">tates on when </w:t>
      </w:r>
      <w:r w:rsidR="004A7EC9">
        <w:rPr>
          <w:color w:val="auto"/>
        </w:rPr>
        <w:t xml:space="preserve">the </w:t>
      </w:r>
      <w:r w:rsidRPr="00FB73D2">
        <w:rPr>
          <w:color w:val="auto"/>
        </w:rPr>
        <w:t xml:space="preserve">new conformity assessment is needed, </w:t>
      </w:r>
      <w:r w:rsidR="004A7EC9">
        <w:rPr>
          <w:color w:val="auto"/>
        </w:rPr>
        <w:t>something that</w:t>
      </w:r>
      <w:r w:rsidRPr="00FB73D2" w:rsidR="004A7EC9">
        <w:rPr>
          <w:color w:val="auto"/>
        </w:rPr>
        <w:t xml:space="preserve"> </w:t>
      </w:r>
      <w:r w:rsidRPr="00FB73D2">
        <w:rPr>
          <w:color w:val="auto"/>
        </w:rPr>
        <w:t xml:space="preserve">should be made clear in the revised Directive so </w:t>
      </w:r>
      <w:r w:rsidR="004A7EC9">
        <w:rPr>
          <w:color w:val="auto"/>
        </w:rPr>
        <w:t xml:space="preserve">that </w:t>
      </w:r>
      <w:r w:rsidRPr="00FB73D2">
        <w:rPr>
          <w:color w:val="auto"/>
        </w:rPr>
        <w:t xml:space="preserve">a common approach is taken. </w:t>
      </w:r>
      <w:r>
        <w:rPr>
          <w:color w:val="auto"/>
        </w:rPr>
        <w:t xml:space="preserve">The EESC </w:t>
      </w:r>
      <w:r w:rsidR="000B6471">
        <w:rPr>
          <w:color w:val="auto"/>
        </w:rPr>
        <w:t>recommends</w:t>
      </w:r>
      <w:r w:rsidRPr="00FB73D2">
        <w:rPr>
          <w:color w:val="auto"/>
        </w:rPr>
        <w:t xml:space="preserve"> that a new conformity assessment and CE mark </w:t>
      </w:r>
      <w:r w:rsidR="004A7EC9">
        <w:rPr>
          <w:color w:val="auto"/>
        </w:rPr>
        <w:t>are</w:t>
      </w:r>
      <w:r w:rsidRPr="00FB73D2">
        <w:rPr>
          <w:color w:val="auto"/>
        </w:rPr>
        <w:t xml:space="preserve"> needed when new functions are added, or the operating range is extended, so that significant hazards that were not considered previously</w:t>
      </w:r>
      <w:r w:rsidRPr="004A7EC9" w:rsidR="004A7EC9">
        <w:rPr>
          <w:color w:val="auto"/>
        </w:rPr>
        <w:t xml:space="preserve"> </w:t>
      </w:r>
      <w:r w:rsidR="008F11D1">
        <w:rPr>
          <w:color w:val="auto"/>
        </w:rPr>
        <w:t>can be</w:t>
      </w:r>
      <w:r w:rsidRPr="00FB73D2" w:rsidR="004A7EC9">
        <w:rPr>
          <w:color w:val="auto"/>
        </w:rPr>
        <w:t xml:space="preserve"> added</w:t>
      </w:r>
      <w:r w:rsidRPr="00FB73D2">
        <w:rPr>
          <w:color w:val="auto"/>
        </w:rPr>
        <w:t>.</w:t>
      </w:r>
      <w:r w:rsidRPr="00A11BB0">
        <w:rPr>
          <w:color w:val="auto"/>
        </w:rPr>
        <w:t xml:space="preserve"> </w:t>
      </w:r>
    </w:p>
    <w:p w:rsidRPr="00BE340E" w:rsidR="00A3454A" w:rsidP="00BE340E" w:rsidRDefault="00A3454A" w14:paraId="3CCF03C0" w14:textId="77777777"/>
    <w:p w:rsidRPr="00A3454A" w:rsidR="00984F14" w:rsidRDefault="00AF4AE1" w14:paraId="5C192811" w14:textId="35F554BB">
      <w:pPr>
        <w:pStyle w:val="Heading2"/>
        <w:numPr>
          <w:ilvl w:val="1"/>
          <w:numId w:val="47"/>
        </w:numPr>
        <w:textAlignment w:val="auto"/>
        <w:rPr>
          <w:color w:val="auto"/>
        </w:rPr>
      </w:pPr>
      <w:r w:rsidRPr="00A3454A">
        <w:rPr>
          <w:color w:val="auto"/>
        </w:rPr>
        <w:t>The section on w</w:t>
      </w:r>
      <w:r w:rsidRPr="00A3454A" w:rsidR="00984F14">
        <w:rPr>
          <w:color w:val="auto"/>
        </w:rPr>
        <w:t>orking conditions in Annex I (</w:t>
      </w:r>
      <w:r w:rsidRPr="00A3454A" w:rsidR="00C84E83">
        <w:rPr>
          <w:color w:val="auto"/>
        </w:rPr>
        <w:t>§</w:t>
      </w:r>
      <w:r w:rsidRPr="00A3454A" w:rsidR="00984F14">
        <w:rPr>
          <w:color w:val="auto"/>
        </w:rPr>
        <w:t xml:space="preserve">1.1.7) is </w:t>
      </w:r>
      <w:r w:rsidRPr="00A3454A" w:rsidR="00C84E83">
        <w:rPr>
          <w:color w:val="auto"/>
        </w:rPr>
        <w:t>poorly formulated</w:t>
      </w:r>
      <w:r w:rsidRPr="00A3454A">
        <w:rPr>
          <w:color w:val="auto"/>
        </w:rPr>
        <w:t>:</w:t>
      </w:r>
      <w:r w:rsidRPr="00A3454A" w:rsidR="00984F14">
        <w:rPr>
          <w:color w:val="auto"/>
        </w:rPr>
        <w:t xml:space="preserve"> although it requires the operator </w:t>
      </w:r>
      <w:r w:rsidRPr="00A3454A">
        <w:rPr>
          <w:color w:val="auto"/>
        </w:rPr>
        <w:t xml:space="preserve">to have </w:t>
      </w:r>
      <w:r w:rsidRPr="00A3454A" w:rsidR="00984F14">
        <w:rPr>
          <w:color w:val="auto"/>
        </w:rPr>
        <w:t xml:space="preserve">good working conditions and </w:t>
      </w:r>
      <w:r w:rsidRPr="00A3454A">
        <w:rPr>
          <w:color w:val="auto"/>
        </w:rPr>
        <w:t xml:space="preserve">be </w:t>
      </w:r>
      <w:r w:rsidRPr="00A3454A" w:rsidR="00984F14">
        <w:rPr>
          <w:color w:val="auto"/>
        </w:rPr>
        <w:t>protected against any foreseeable hazards</w:t>
      </w:r>
      <w:r w:rsidRPr="00A3454A">
        <w:rPr>
          <w:color w:val="auto"/>
        </w:rPr>
        <w:t>,</w:t>
      </w:r>
      <w:r w:rsidRPr="00A3454A" w:rsidR="00984F14">
        <w:rPr>
          <w:color w:val="auto"/>
        </w:rPr>
        <w:t xml:space="preserve"> the level of working conditions </w:t>
      </w:r>
      <w:r w:rsidRPr="00A3454A">
        <w:rPr>
          <w:color w:val="auto"/>
        </w:rPr>
        <w:t xml:space="preserve">is </w:t>
      </w:r>
      <w:r w:rsidRPr="00A3454A" w:rsidR="00984F14">
        <w:rPr>
          <w:color w:val="auto"/>
        </w:rPr>
        <w:t xml:space="preserve">in practice very variable. </w:t>
      </w:r>
      <w:r w:rsidRPr="00A3454A" w:rsidR="00C84E83">
        <w:rPr>
          <w:color w:val="auto"/>
        </w:rPr>
        <w:t xml:space="preserve">The EESC </w:t>
      </w:r>
      <w:r w:rsidRPr="00A3454A" w:rsidR="000B6471">
        <w:rPr>
          <w:color w:val="auto"/>
        </w:rPr>
        <w:t xml:space="preserve">recommends </w:t>
      </w:r>
      <w:r w:rsidRPr="00A3454A" w:rsidR="00C84E83">
        <w:rPr>
          <w:color w:val="auto"/>
        </w:rPr>
        <w:t>specifically mention</w:t>
      </w:r>
      <w:r w:rsidRPr="00A3454A">
        <w:rPr>
          <w:color w:val="auto"/>
        </w:rPr>
        <w:t>ing</w:t>
      </w:r>
      <w:r w:rsidRPr="00A3454A" w:rsidR="00C84E83">
        <w:rPr>
          <w:color w:val="auto"/>
        </w:rPr>
        <w:t xml:space="preserve"> heating, cooling, noise, dust, hazardous chemicals and a body position compatible with long </w:t>
      </w:r>
      <w:r w:rsidRPr="00A3454A" w:rsidR="00621F27">
        <w:rPr>
          <w:color w:val="auto"/>
        </w:rPr>
        <w:t>operating periods</w:t>
      </w:r>
      <w:r w:rsidRPr="00A3454A" w:rsidR="00C84E83">
        <w:rPr>
          <w:color w:val="auto"/>
        </w:rPr>
        <w:t xml:space="preserve"> </w:t>
      </w:r>
      <w:r w:rsidRPr="00A3454A">
        <w:rPr>
          <w:color w:val="auto"/>
        </w:rPr>
        <w:t>to specify what is meant by "</w:t>
      </w:r>
      <w:r w:rsidRPr="00A3454A" w:rsidR="00C84E83">
        <w:rPr>
          <w:color w:val="auto"/>
        </w:rPr>
        <w:t>good working conditions</w:t>
      </w:r>
      <w:r w:rsidRPr="00A3454A">
        <w:rPr>
          <w:color w:val="auto"/>
        </w:rPr>
        <w:t>" for the operator</w:t>
      </w:r>
      <w:r w:rsidRPr="00A3454A" w:rsidR="00C84E83">
        <w:rPr>
          <w:color w:val="auto"/>
        </w:rPr>
        <w:t>.</w:t>
      </w:r>
    </w:p>
    <w:p w:rsidRPr="00FB73D2" w:rsidR="00984F14" w:rsidP="00984F14" w:rsidRDefault="00984F14" w14:paraId="4C230B50" w14:textId="77777777">
      <w:pPr>
        <w:rPr>
          <w:color w:val="auto"/>
        </w:rPr>
      </w:pPr>
    </w:p>
    <w:p w:rsidRPr="00044D2B" w:rsidR="00984F14" w:rsidP="00984F14" w:rsidRDefault="00984F14" w14:paraId="7775CE8E" w14:textId="7D7421DA">
      <w:pPr>
        <w:pStyle w:val="Heading2"/>
        <w:numPr>
          <w:ilvl w:val="1"/>
          <w:numId w:val="47"/>
        </w:numPr>
        <w:textAlignment w:val="auto"/>
        <w:rPr>
          <w:color w:val="auto"/>
        </w:rPr>
      </w:pPr>
      <w:r w:rsidRPr="00044D2B">
        <w:rPr>
          <w:color w:val="auto"/>
        </w:rPr>
        <w:t xml:space="preserve">State of the art is a key concept but is not defined fully, with only a loose explanation in a Recital that there is an economic aspect to be taken into account. </w:t>
      </w:r>
      <w:r w:rsidR="00621F27">
        <w:rPr>
          <w:color w:val="auto"/>
        </w:rPr>
        <w:t xml:space="preserve">The EESC </w:t>
      </w:r>
      <w:r w:rsidR="000B6471">
        <w:rPr>
          <w:color w:val="auto"/>
        </w:rPr>
        <w:t>recommends</w:t>
      </w:r>
      <w:r w:rsidRPr="00FB73D2" w:rsidR="00621F27">
        <w:rPr>
          <w:color w:val="auto"/>
        </w:rPr>
        <w:t xml:space="preserve"> </w:t>
      </w:r>
      <w:r w:rsidRPr="00044D2B">
        <w:rPr>
          <w:color w:val="auto"/>
        </w:rPr>
        <w:t>introduc</w:t>
      </w:r>
      <w:r w:rsidR="002112C8">
        <w:rPr>
          <w:color w:val="auto"/>
        </w:rPr>
        <w:t>ing</w:t>
      </w:r>
      <w:r w:rsidRPr="00044D2B">
        <w:rPr>
          <w:color w:val="auto"/>
        </w:rPr>
        <w:t xml:space="preserve"> a definition of</w:t>
      </w:r>
      <w:r w:rsidR="002112C8">
        <w:rPr>
          <w:color w:val="auto"/>
        </w:rPr>
        <w:t xml:space="preserve"> the term</w:t>
      </w:r>
      <w:r w:rsidRPr="00044D2B">
        <w:rPr>
          <w:color w:val="auto"/>
        </w:rPr>
        <w:t xml:space="preserve"> </w:t>
      </w:r>
      <w:r w:rsidR="002112C8">
        <w:rPr>
          <w:color w:val="auto"/>
        </w:rPr>
        <w:t>"</w:t>
      </w:r>
      <w:r w:rsidRPr="00044D2B">
        <w:rPr>
          <w:color w:val="auto"/>
        </w:rPr>
        <w:t>state of the art</w:t>
      </w:r>
      <w:r w:rsidR="002112C8">
        <w:rPr>
          <w:color w:val="auto"/>
        </w:rPr>
        <w:t>"</w:t>
      </w:r>
      <w:r w:rsidRPr="00044D2B">
        <w:rPr>
          <w:color w:val="auto"/>
        </w:rPr>
        <w:t xml:space="preserve"> to avoid confusion and abuse.</w:t>
      </w:r>
    </w:p>
    <w:p w:rsidRPr="00FB73D2" w:rsidR="00984F14" w:rsidP="00984F14" w:rsidRDefault="00984F14" w14:paraId="7D821D43" w14:textId="77777777">
      <w:pPr>
        <w:rPr>
          <w:color w:val="auto"/>
        </w:rPr>
      </w:pPr>
    </w:p>
    <w:p w:rsidR="00984F14" w:rsidP="00984F14" w:rsidRDefault="00984F14" w14:paraId="03A980F7" w14:textId="7B89F612">
      <w:pPr>
        <w:pStyle w:val="Heading2"/>
        <w:numPr>
          <w:ilvl w:val="1"/>
          <w:numId w:val="47"/>
        </w:numPr>
        <w:textAlignment w:val="auto"/>
        <w:rPr>
          <w:color w:val="auto"/>
        </w:rPr>
      </w:pPr>
      <w:r>
        <w:rPr>
          <w:color w:val="auto"/>
        </w:rPr>
        <w:t xml:space="preserve">The EESC </w:t>
      </w:r>
      <w:r w:rsidR="009E0D90">
        <w:rPr>
          <w:color w:val="auto"/>
        </w:rPr>
        <w:t>stresses t</w:t>
      </w:r>
      <w:r>
        <w:rPr>
          <w:color w:val="auto"/>
        </w:rPr>
        <w:t>hat t</w:t>
      </w:r>
      <w:r w:rsidRPr="00D92A33">
        <w:rPr>
          <w:color w:val="auto"/>
        </w:rPr>
        <w:t xml:space="preserve">he definition of </w:t>
      </w:r>
      <w:r w:rsidR="002112C8">
        <w:rPr>
          <w:color w:val="auto"/>
        </w:rPr>
        <w:t>"</w:t>
      </w:r>
      <w:r w:rsidRPr="00D92A33">
        <w:rPr>
          <w:color w:val="auto"/>
        </w:rPr>
        <w:t>reasonably foreseeable misuse,</w:t>
      </w:r>
      <w:r w:rsidR="002112C8">
        <w:rPr>
          <w:color w:val="auto"/>
        </w:rPr>
        <w:t>"</w:t>
      </w:r>
      <w:r w:rsidRPr="00D92A33">
        <w:rPr>
          <w:color w:val="auto"/>
        </w:rPr>
        <w:t xml:space="preserve"> whether intentional or unintentional, should be improved </w:t>
      </w:r>
      <w:r w:rsidR="008F11D1">
        <w:rPr>
          <w:color w:val="auto"/>
        </w:rPr>
        <w:t xml:space="preserve">by </w:t>
      </w:r>
      <w:r w:rsidRPr="00D92A33">
        <w:rPr>
          <w:color w:val="auto"/>
        </w:rPr>
        <w:t xml:space="preserve">taking into account the </w:t>
      </w:r>
      <w:r w:rsidR="002112C8">
        <w:rPr>
          <w:color w:val="auto"/>
        </w:rPr>
        <w:t>body</w:t>
      </w:r>
      <w:r w:rsidRPr="00D92A33" w:rsidR="002112C8">
        <w:rPr>
          <w:color w:val="auto"/>
        </w:rPr>
        <w:t xml:space="preserve"> </w:t>
      </w:r>
      <w:r w:rsidRPr="00D92A33">
        <w:rPr>
          <w:color w:val="auto"/>
        </w:rPr>
        <w:t>of experience</w:t>
      </w:r>
      <w:r w:rsidR="002112C8">
        <w:rPr>
          <w:color w:val="auto"/>
        </w:rPr>
        <w:t xml:space="preserve"> acquired through</w:t>
      </w:r>
      <w:r w:rsidRPr="00D92A33">
        <w:rPr>
          <w:color w:val="auto"/>
        </w:rPr>
        <w:t xml:space="preserve"> past use of the same type of machinery or of similar machinery, accident investigations and knowledge about human behaviour.</w:t>
      </w:r>
    </w:p>
    <w:p w:rsidRPr="00685133" w:rsidR="00984F14" w:rsidP="00984F14" w:rsidRDefault="00984F14" w14:paraId="18C52D52" w14:textId="77777777"/>
    <w:p w:rsidRPr="000C040A" w:rsidR="00984F14" w:rsidP="00984F14" w:rsidRDefault="00984F14" w14:paraId="5F684EFF" w14:textId="079B20BB">
      <w:pPr>
        <w:pStyle w:val="Heading2"/>
        <w:numPr>
          <w:ilvl w:val="1"/>
          <w:numId w:val="47"/>
        </w:numPr>
        <w:textAlignment w:val="auto"/>
        <w:rPr>
          <w:color w:val="auto"/>
        </w:rPr>
      </w:pPr>
      <w:r w:rsidRPr="00FB73D2">
        <w:rPr>
          <w:color w:val="auto"/>
        </w:rPr>
        <w:t xml:space="preserve">The Directive does not specify the format of instructions, but it has been </w:t>
      </w:r>
      <w:r w:rsidR="002112C8">
        <w:rPr>
          <w:color w:val="auto"/>
        </w:rPr>
        <w:t>assumed</w:t>
      </w:r>
      <w:r w:rsidRPr="00FB73D2" w:rsidR="002112C8">
        <w:rPr>
          <w:color w:val="auto"/>
        </w:rPr>
        <w:t xml:space="preserve"> </w:t>
      </w:r>
      <w:r w:rsidRPr="00FB73D2">
        <w:rPr>
          <w:color w:val="auto"/>
        </w:rPr>
        <w:t xml:space="preserve">that they must be in hard paper format. </w:t>
      </w:r>
      <w:r>
        <w:rPr>
          <w:color w:val="auto"/>
        </w:rPr>
        <w:t>Progress in telecommunication enables</w:t>
      </w:r>
      <w:r w:rsidRPr="00FB73D2">
        <w:rPr>
          <w:color w:val="auto"/>
        </w:rPr>
        <w:t xml:space="preserve"> other options </w:t>
      </w:r>
      <w:r>
        <w:rPr>
          <w:color w:val="auto"/>
        </w:rPr>
        <w:t>to be</w:t>
      </w:r>
      <w:r w:rsidRPr="00FB73D2">
        <w:rPr>
          <w:color w:val="auto"/>
        </w:rPr>
        <w:t xml:space="preserve"> useful (</w:t>
      </w:r>
      <w:r w:rsidR="002112C8">
        <w:rPr>
          <w:color w:val="auto"/>
        </w:rPr>
        <w:t xml:space="preserve">such as </w:t>
      </w:r>
      <w:r>
        <w:rPr>
          <w:color w:val="auto"/>
        </w:rPr>
        <w:t>the</w:t>
      </w:r>
      <w:r w:rsidRPr="00FB73D2">
        <w:rPr>
          <w:color w:val="auto"/>
        </w:rPr>
        <w:t xml:space="preserve"> use of video</w:t>
      </w:r>
      <w:r>
        <w:rPr>
          <w:color w:val="auto"/>
        </w:rPr>
        <w:t>s</w:t>
      </w:r>
      <w:r w:rsidRPr="00FB73D2">
        <w:rPr>
          <w:color w:val="auto"/>
        </w:rPr>
        <w:t xml:space="preserve"> to explain </w:t>
      </w:r>
      <w:r>
        <w:rPr>
          <w:color w:val="auto"/>
        </w:rPr>
        <w:t xml:space="preserve">installing, dismantling </w:t>
      </w:r>
      <w:r w:rsidR="0005545C">
        <w:rPr>
          <w:color w:val="auto"/>
        </w:rPr>
        <w:t xml:space="preserve">or </w:t>
      </w:r>
      <w:r>
        <w:rPr>
          <w:color w:val="auto"/>
        </w:rPr>
        <w:t>maint</w:t>
      </w:r>
      <w:r w:rsidR="0005545C">
        <w:rPr>
          <w:color w:val="auto"/>
        </w:rPr>
        <w:t>enance</w:t>
      </w:r>
      <w:r>
        <w:rPr>
          <w:color w:val="auto"/>
        </w:rPr>
        <w:t xml:space="preserve"> </w:t>
      </w:r>
      <w:r w:rsidRPr="00FB73D2">
        <w:rPr>
          <w:color w:val="auto"/>
        </w:rPr>
        <w:t>operations)</w:t>
      </w:r>
      <w:r w:rsidR="002112C8">
        <w:rPr>
          <w:color w:val="auto"/>
        </w:rPr>
        <w:t>,</w:t>
      </w:r>
      <w:r w:rsidRPr="00FB73D2">
        <w:rPr>
          <w:color w:val="auto"/>
        </w:rPr>
        <w:t xml:space="preserve"> </w:t>
      </w:r>
      <w:r w:rsidR="002112C8">
        <w:rPr>
          <w:color w:val="auto"/>
        </w:rPr>
        <w:t xml:space="preserve">as these </w:t>
      </w:r>
      <w:r w:rsidRPr="00FB73D2">
        <w:rPr>
          <w:color w:val="auto"/>
        </w:rPr>
        <w:t xml:space="preserve">may be better understood by operators with limited language skills. </w:t>
      </w:r>
      <w:r>
        <w:rPr>
          <w:color w:val="auto"/>
        </w:rPr>
        <w:t xml:space="preserve">The EESC </w:t>
      </w:r>
      <w:r w:rsidR="000B6471">
        <w:rPr>
          <w:color w:val="auto"/>
        </w:rPr>
        <w:t>recommends</w:t>
      </w:r>
      <w:r w:rsidRPr="00FB73D2" w:rsidR="000B6471">
        <w:rPr>
          <w:color w:val="auto"/>
        </w:rPr>
        <w:t xml:space="preserve"> </w:t>
      </w:r>
      <w:r w:rsidRPr="00FB73D2">
        <w:rPr>
          <w:color w:val="auto"/>
        </w:rPr>
        <w:t xml:space="preserve">requiring </w:t>
      </w:r>
      <w:r w:rsidR="002112C8">
        <w:rPr>
          <w:color w:val="auto"/>
        </w:rPr>
        <w:t xml:space="preserve">that the </w:t>
      </w:r>
      <w:r w:rsidRPr="00FB73D2">
        <w:rPr>
          <w:color w:val="auto"/>
        </w:rPr>
        <w:t xml:space="preserve">paper format of the essential operator guide (quick start guide) </w:t>
      </w:r>
      <w:r w:rsidR="002112C8">
        <w:rPr>
          <w:color w:val="auto"/>
        </w:rPr>
        <w:t>containing</w:t>
      </w:r>
      <w:r w:rsidRPr="00FB73D2" w:rsidR="002112C8">
        <w:rPr>
          <w:color w:val="auto"/>
        </w:rPr>
        <w:t xml:space="preserve"> </w:t>
      </w:r>
      <w:r w:rsidRPr="00FB73D2">
        <w:rPr>
          <w:color w:val="auto"/>
        </w:rPr>
        <w:t xml:space="preserve">more detailed and comprehensive information </w:t>
      </w:r>
      <w:r w:rsidR="002112C8">
        <w:rPr>
          <w:color w:val="auto"/>
        </w:rPr>
        <w:t xml:space="preserve">also be </w:t>
      </w:r>
      <w:r w:rsidRPr="00FB73D2">
        <w:rPr>
          <w:color w:val="auto"/>
        </w:rPr>
        <w:t xml:space="preserve">provided in digital format, but with the safeguard of </w:t>
      </w:r>
      <w:r w:rsidR="002112C8">
        <w:rPr>
          <w:color w:val="auto"/>
        </w:rPr>
        <w:t>providing</w:t>
      </w:r>
      <w:r w:rsidRPr="00FB73D2">
        <w:rPr>
          <w:color w:val="auto"/>
        </w:rPr>
        <w:t xml:space="preserve"> </w:t>
      </w:r>
      <w:r w:rsidRPr="000C040A">
        <w:rPr>
          <w:color w:val="auto"/>
        </w:rPr>
        <w:t xml:space="preserve">a hard copy of the instructions to any end user requesting it. </w:t>
      </w:r>
    </w:p>
    <w:p w:rsidRPr="0035653E" w:rsidR="00984F14" w:rsidP="00984F14" w:rsidRDefault="00984F14" w14:paraId="3FAB6CEB" w14:textId="77777777"/>
    <w:p w:rsidRPr="0080158E" w:rsidR="0080158E" w:rsidP="0080158E" w:rsidRDefault="000B6471" w14:paraId="791F5CE9" w14:textId="7054803B">
      <w:pPr>
        <w:pStyle w:val="Heading2"/>
        <w:numPr>
          <w:ilvl w:val="1"/>
          <w:numId w:val="47"/>
        </w:numPr>
        <w:textAlignment w:val="auto"/>
        <w:rPr>
          <w:color w:val="auto"/>
        </w:rPr>
      </w:pPr>
      <w:r w:rsidRPr="000C040A">
        <w:rPr>
          <w:color w:val="auto"/>
        </w:rPr>
        <w:t xml:space="preserve">the </w:t>
      </w:r>
      <w:r w:rsidRPr="000C040A" w:rsidR="009E0D90">
        <w:rPr>
          <w:color w:val="auto"/>
        </w:rPr>
        <w:t xml:space="preserve">EESC invites </w:t>
      </w:r>
      <w:r w:rsidRPr="000C040A" w:rsidR="00984F14">
        <w:rPr>
          <w:color w:val="auto"/>
        </w:rPr>
        <w:t xml:space="preserve">the European Commission to </w:t>
      </w:r>
      <w:r w:rsidR="00984F14">
        <w:rPr>
          <w:color w:val="auto"/>
        </w:rPr>
        <w:t xml:space="preserve">improve the current format of the Guide supporting the application </w:t>
      </w:r>
      <w:r w:rsidRPr="00044D2B" w:rsidR="00984F14">
        <w:rPr>
          <w:color w:val="auto"/>
        </w:rPr>
        <w:t xml:space="preserve">of the Machinery Directive </w:t>
      </w:r>
      <w:r w:rsidR="00984F14">
        <w:rPr>
          <w:color w:val="auto"/>
        </w:rPr>
        <w:t xml:space="preserve">– </w:t>
      </w:r>
      <w:r w:rsidRPr="00044D2B" w:rsidR="00984F14">
        <w:rPr>
          <w:color w:val="auto"/>
        </w:rPr>
        <w:t>available from the DG Growth website</w:t>
      </w:r>
      <w:r w:rsidR="00984F14">
        <w:rPr>
          <w:color w:val="auto"/>
        </w:rPr>
        <w:t xml:space="preserve"> – by </w:t>
      </w:r>
      <w:r w:rsidRPr="000C040A" w:rsidR="00984F14">
        <w:rPr>
          <w:color w:val="auto"/>
        </w:rPr>
        <w:t>introduc</w:t>
      </w:r>
      <w:r w:rsidR="00984F14">
        <w:rPr>
          <w:color w:val="auto"/>
        </w:rPr>
        <w:t>ing</w:t>
      </w:r>
      <w:r w:rsidRPr="000C040A" w:rsidR="00984F14">
        <w:rPr>
          <w:color w:val="auto"/>
        </w:rPr>
        <w:t xml:space="preserve"> a web-based version associated with the revised Directive</w:t>
      </w:r>
      <w:r w:rsidR="00984F14">
        <w:rPr>
          <w:color w:val="auto"/>
        </w:rPr>
        <w:t xml:space="preserve">: this would facilitate prompt </w:t>
      </w:r>
      <w:r w:rsidRPr="000C040A" w:rsidR="00984F14">
        <w:rPr>
          <w:color w:val="auto"/>
        </w:rPr>
        <w:t>update</w:t>
      </w:r>
      <w:r w:rsidR="00984F14">
        <w:rPr>
          <w:color w:val="auto"/>
        </w:rPr>
        <w:t xml:space="preserve">s, while </w:t>
      </w:r>
      <w:r w:rsidRPr="000C040A" w:rsidR="00984F14">
        <w:rPr>
          <w:color w:val="auto"/>
        </w:rPr>
        <w:t xml:space="preserve">hypertext links </w:t>
      </w:r>
      <w:r w:rsidR="00984F14">
        <w:rPr>
          <w:color w:val="auto"/>
        </w:rPr>
        <w:t xml:space="preserve">could point </w:t>
      </w:r>
      <w:r w:rsidRPr="000C040A" w:rsidR="00984F14">
        <w:rPr>
          <w:color w:val="auto"/>
        </w:rPr>
        <w:t>to key documents (such as the Blue Guide) and relevant references in the Guide itself.</w:t>
      </w:r>
    </w:p>
    <w:p w:rsidRPr="00FB73D2" w:rsidR="00241604" w:rsidP="004C62E1" w:rsidRDefault="00241604" w14:paraId="752DB771" w14:textId="77777777">
      <w:pPr>
        <w:rPr>
          <w:color w:val="auto"/>
        </w:rPr>
      </w:pPr>
    </w:p>
    <w:p w:rsidR="00CB74EB" w:rsidP="00CB74EB" w:rsidRDefault="00CB74EB" w14:paraId="457FE688" w14:textId="44A09A7C">
      <w:r>
        <w:t xml:space="preserve">Brussels, </w:t>
      </w:r>
      <w:r w:rsidR="003E4EFE">
        <w:t>11 June</w:t>
      </w:r>
      <w:r>
        <w:t xml:space="preserve"> 2020</w:t>
      </w:r>
    </w:p>
    <w:p w:rsidR="00CB74EB" w:rsidP="00CB74EB" w:rsidRDefault="00CB74EB" w14:paraId="56BBCB58" w14:textId="7F66DC9B"/>
    <w:p w:rsidR="003E4EFE" w:rsidP="00CB74EB" w:rsidRDefault="003E4EFE" w14:paraId="282A1774" w14:textId="37B5390D"/>
    <w:p w:rsidR="003E4EFE" w:rsidP="00CB74EB" w:rsidRDefault="003E4EFE" w14:paraId="3E5A6863" w14:textId="20BF0784"/>
    <w:p w:rsidR="003E4EFE" w:rsidP="00CB74EB" w:rsidRDefault="003E4EFE" w14:paraId="5B900D52" w14:textId="532454EC"/>
    <w:p w:rsidR="003E4EFE" w:rsidP="00CB74EB" w:rsidRDefault="003E4EFE" w14:paraId="0009B82D" w14:textId="77777777">
      <w:r w:rsidRPr="0085378B">
        <w:t>Luca Jahier</w:t>
      </w:r>
    </w:p>
    <w:p w:rsidR="003E4EFE" w:rsidP="00CB74EB" w:rsidRDefault="003E4EFE" w14:paraId="3644D51E" w14:textId="38EC2A14">
      <w:pPr>
        <w:rPr>
          <w:lang w:val="en-US"/>
        </w:rPr>
      </w:pPr>
      <w:r w:rsidRPr="0059130C">
        <w:rPr>
          <w:lang w:val="en-US"/>
        </w:rPr>
        <w:t>The president of the European Economic and Social Committee</w:t>
      </w:r>
    </w:p>
    <w:p w:rsidRPr="00FB73D2" w:rsidR="00BC54B9" w:rsidP="00461396" w:rsidRDefault="00BC54B9" w14:paraId="75E352CC" w14:textId="77777777">
      <w:pPr>
        <w:pStyle w:val="ListParagraph"/>
        <w:overflowPunct w:val="0"/>
        <w:spacing w:before="100" w:beforeAutospacing="1" w:after="100" w:afterAutospacing="1"/>
        <w:jc w:val="center"/>
        <w:textAlignment w:val="auto"/>
        <w:rPr>
          <w:color w:val="auto"/>
        </w:rPr>
      </w:pPr>
      <w:r w:rsidRPr="00FB73D2">
        <w:rPr>
          <w:color w:val="auto"/>
        </w:rPr>
        <w:t>_____________</w:t>
      </w:r>
    </w:p>
    <w:sectPr w:rsidRPr="00FB73D2" w:rsidR="00BC54B9" w:rsidSect="00710344">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0" w:footer="709" w:gutter="0"/>
      <w:cols w:space="720"/>
      <w:formProt w:val="0"/>
      <w:docGrid w:linePitch="299" w:charSpace="-204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40037A" w16cid:durableId="21EE56EC"/>
  <w16cid:commentId w16cid:paraId="7FA8DE17" w16cid:durableId="21EE5E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643" w:rsidRDefault="00A63643" w14:paraId="6753D8F4" w14:textId="77777777">
      <w:pPr>
        <w:spacing w:line="240" w:lineRule="auto"/>
      </w:pPr>
      <w:r>
        <w:separator/>
      </w:r>
    </w:p>
  </w:endnote>
  <w:endnote w:type="continuationSeparator" w:id="0">
    <w:p w:rsidR="00A63643" w:rsidRDefault="00A63643" w14:paraId="07035655"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10344" w:rsidR="00710344" w:rsidP="00710344" w:rsidRDefault="00710344" w14:paraId="6ABB4D6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10344" w:rsidR="00784F87" w:rsidP="00710344" w:rsidRDefault="00710344" w14:paraId="07CD535D" w14:textId="45C347C5">
    <w:pPr>
      <w:pStyle w:val="Footer"/>
    </w:pPr>
    <w:r>
      <w:t xml:space="preserve">CCMI/172 – EESC-2020-00330-00-01-RI-TRA (EN) </w:t>
    </w:r>
    <w:r>
      <w:fldChar w:fldCharType="begin"/>
    </w:r>
    <w:r>
      <w:instrText xml:space="preserve"> PAGE  \* Arabic  \* MERGEFORMAT </w:instrText>
    </w:r>
    <w:r>
      <w:fldChar w:fldCharType="separate"/>
    </w:r>
    <w:r w:rsidR="00003BB0">
      <w:rPr>
        <w:noProof/>
      </w:rPr>
      <w:t>1</w:t>
    </w:r>
    <w:r>
      <w:fldChar w:fldCharType="end"/>
    </w:r>
    <w:r>
      <w:t>/</w:t>
    </w:r>
    <w:r>
      <w:fldChar w:fldCharType="begin"/>
    </w:r>
    <w:r>
      <w:instrText xml:space="preserve"> NUMPAGES </w:instrText>
    </w:r>
    <w:r>
      <w:fldChar w:fldCharType="separate"/>
    </w:r>
    <w:r w:rsidR="00003BB0">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10344" w:rsidR="00710344" w:rsidP="00710344" w:rsidRDefault="00710344" w14:paraId="7BB989EF"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10344" w:rsidR="00461396" w:rsidP="00710344" w:rsidRDefault="00461396" w14:paraId="73DB9F22"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10344" w:rsidR="00461396" w:rsidP="00710344" w:rsidRDefault="00710344" w14:paraId="5AAAC444" w14:textId="0FAFB56A">
    <w:pPr>
      <w:pStyle w:val="Footer"/>
    </w:pPr>
    <w:r>
      <w:t xml:space="preserve">CCMI/172 – EESC-2020-00330-00-01-RI-TRA (EN) </w:t>
    </w:r>
    <w:r>
      <w:fldChar w:fldCharType="begin"/>
    </w:r>
    <w:r>
      <w:instrText xml:space="preserve"> PAGE  \* Arabic  \* MERGEFORMAT </w:instrText>
    </w:r>
    <w:r>
      <w:fldChar w:fldCharType="separate"/>
    </w:r>
    <w:r>
      <w:rPr>
        <w:noProof/>
      </w:rPr>
      <w:t>8</w:t>
    </w:r>
    <w:r>
      <w:fldChar w:fldCharType="end"/>
    </w:r>
    <w:r>
      <w:t>/</w:t>
    </w:r>
    <w:r>
      <w:fldChar w:fldCharType="begin"/>
    </w:r>
    <w:r>
      <w:instrText xml:space="preserve"> NUMPAGES </w:instrText>
    </w:r>
    <w:r>
      <w:fldChar w:fldCharType="separate"/>
    </w:r>
    <w:r>
      <w:rPr>
        <w:noProof/>
      </w:rPr>
      <w:t>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10344" w:rsidR="00461396" w:rsidP="00710344" w:rsidRDefault="00461396" w14:paraId="42A3E30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643" w:rsidRDefault="00A63643" w14:paraId="777EBF29" w14:textId="77777777">
      <w:pPr>
        <w:spacing w:line="240" w:lineRule="auto"/>
      </w:pPr>
      <w:r>
        <w:separator/>
      </w:r>
    </w:p>
  </w:footnote>
  <w:footnote w:type="continuationSeparator" w:id="0">
    <w:p w:rsidR="00A63643" w:rsidRDefault="00A63643" w14:paraId="2DC52785"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10344" w:rsidR="00710344" w:rsidP="00710344" w:rsidRDefault="00710344" w14:paraId="57AD7EB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10344" w:rsidR="00710344" w:rsidP="00710344" w:rsidRDefault="00710344" w14:paraId="118DF7E8" w14:textId="3638E5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10344" w:rsidR="00710344" w:rsidP="00710344" w:rsidRDefault="00710344" w14:paraId="56430CB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10344" w:rsidR="00461396" w:rsidP="00710344" w:rsidRDefault="00461396" w14:paraId="0B1A2206"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10344" w:rsidR="00461396" w:rsidP="00710344" w:rsidRDefault="00461396" w14:paraId="5642B07E" w14:textId="77361C2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10344" w:rsidR="00461396" w:rsidP="00710344" w:rsidRDefault="00461396" w14:paraId="5EE9337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01073"/>
    <w:multiLevelType w:val="hybridMultilevel"/>
    <w:tmpl w:val="691A925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EA55B9F"/>
    <w:multiLevelType w:val="multilevel"/>
    <w:tmpl w:val="F30CBD3C"/>
    <w:lvl w:ilvl="0">
      <w:start w:val="1"/>
      <w:numFmt w:val="decimal"/>
      <w:pStyle w:val="Heading1"/>
      <w:lvlText w:val="%1."/>
      <w:lvlJc w:val="left"/>
      <w:pPr>
        <w:ind w:left="432" w:hanging="432"/>
      </w:pPr>
      <w:rPr>
        <w:b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CAB5539"/>
    <w:multiLevelType w:val="multilevel"/>
    <w:tmpl w:val="85A806DA"/>
    <w:lvl w:ilvl="0">
      <w:start w:val="1"/>
      <w:numFmt w:val="decimal"/>
      <w:lvlText w:val="%1."/>
      <w:lvlJc w:val="left"/>
      <w:pPr>
        <w:ind w:left="720" w:hanging="360"/>
      </w:pPr>
    </w:lvl>
    <w:lvl w:ilvl="1">
      <w:start w:val="1"/>
      <w:numFmt w:val="decimal"/>
      <w:lvlText w:val="%1.%2."/>
      <w:lvlJc w:val="left"/>
      <w:pPr>
        <w:ind w:left="501"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4C2906D3"/>
    <w:multiLevelType w:val="multilevel"/>
    <w:tmpl w:val="4FC4A7FE"/>
    <w:lvl w:ilvl="0">
      <w:start w:val="1"/>
      <w:numFmt w:val="decimal"/>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639B7314"/>
    <w:multiLevelType w:val="multilevel"/>
    <w:tmpl w:val="4FC4A7FE"/>
    <w:lvl w:ilvl="0">
      <w:start w:val="1"/>
      <w:numFmt w:val="decimal"/>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4"/>
  </w:num>
  <w:num w:numId="3">
    <w:abstractNumId w:val="2"/>
  </w:num>
  <w:num w:numId="4">
    <w:abstractNumId w:val="0"/>
  </w:num>
  <w:num w:numId="5">
    <w:abstractNumId w:val="3"/>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D2B"/>
    <w:rsid w:val="00001D6B"/>
    <w:rsid w:val="00003BB0"/>
    <w:rsid w:val="000075BD"/>
    <w:rsid w:val="00023AEB"/>
    <w:rsid w:val="00024AD5"/>
    <w:rsid w:val="000317D4"/>
    <w:rsid w:val="000366AB"/>
    <w:rsid w:val="000377B7"/>
    <w:rsid w:val="00037889"/>
    <w:rsid w:val="000432EB"/>
    <w:rsid w:val="00044D2B"/>
    <w:rsid w:val="00050A4B"/>
    <w:rsid w:val="000537B9"/>
    <w:rsid w:val="0005545C"/>
    <w:rsid w:val="00061795"/>
    <w:rsid w:val="000636CA"/>
    <w:rsid w:val="000646C3"/>
    <w:rsid w:val="00082602"/>
    <w:rsid w:val="000917B9"/>
    <w:rsid w:val="00093994"/>
    <w:rsid w:val="0009723D"/>
    <w:rsid w:val="000B6471"/>
    <w:rsid w:val="000C040A"/>
    <w:rsid w:val="000C060D"/>
    <w:rsid w:val="000C09EA"/>
    <w:rsid w:val="000C1392"/>
    <w:rsid w:val="000C300A"/>
    <w:rsid w:val="000C3CA9"/>
    <w:rsid w:val="000C7D2B"/>
    <w:rsid w:val="000D1D38"/>
    <w:rsid w:val="000D3831"/>
    <w:rsid w:val="00101299"/>
    <w:rsid w:val="0010796C"/>
    <w:rsid w:val="00115504"/>
    <w:rsid w:val="001216C7"/>
    <w:rsid w:val="00126DA6"/>
    <w:rsid w:val="00130BB5"/>
    <w:rsid w:val="00131AC4"/>
    <w:rsid w:val="001445A7"/>
    <w:rsid w:val="00160F2A"/>
    <w:rsid w:val="00167792"/>
    <w:rsid w:val="00173681"/>
    <w:rsid w:val="001A2F58"/>
    <w:rsid w:val="001A40D2"/>
    <w:rsid w:val="001B4B7F"/>
    <w:rsid w:val="001B69E7"/>
    <w:rsid w:val="001C36C6"/>
    <w:rsid w:val="001D3023"/>
    <w:rsid w:val="001D38A5"/>
    <w:rsid w:val="001E6A9C"/>
    <w:rsid w:val="001F1831"/>
    <w:rsid w:val="001F3AED"/>
    <w:rsid w:val="002019EA"/>
    <w:rsid w:val="002066F8"/>
    <w:rsid w:val="002112C8"/>
    <w:rsid w:val="00213FD9"/>
    <w:rsid w:val="00215F92"/>
    <w:rsid w:val="00231BC6"/>
    <w:rsid w:val="00234D59"/>
    <w:rsid w:val="00236AC5"/>
    <w:rsid w:val="00237F1A"/>
    <w:rsid w:val="0024130F"/>
    <w:rsid w:val="00241604"/>
    <w:rsid w:val="00246C89"/>
    <w:rsid w:val="0025194F"/>
    <w:rsid w:val="00252684"/>
    <w:rsid w:val="00252AC3"/>
    <w:rsid w:val="00263C61"/>
    <w:rsid w:val="00264D1F"/>
    <w:rsid w:val="00272E21"/>
    <w:rsid w:val="00274202"/>
    <w:rsid w:val="0027723D"/>
    <w:rsid w:val="002A5602"/>
    <w:rsid w:val="002A695E"/>
    <w:rsid w:val="002B35D2"/>
    <w:rsid w:val="002B5CCE"/>
    <w:rsid w:val="002C24FF"/>
    <w:rsid w:val="002C2DAB"/>
    <w:rsid w:val="002C5D05"/>
    <w:rsid w:val="002E3826"/>
    <w:rsid w:val="003032E9"/>
    <w:rsid w:val="0030604B"/>
    <w:rsid w:val="00320F6C"/>
    <w:rsid w:val="00322CF8"/>
    <w:rsid w:val="003248A7"/>
    <w:rsid w:val="00330DBC"/>
    <w:rsid w:val="003334F1"/>
    <w:rsid w:val="0033492E"/>
    <w:rsid w:val="00343754"/>
    <w:rsid w:val="003502C6"/>
    <w:rsid w:val="003551B8"/>
    <w:rsid w:val="0035643A"/>
    <w:rsid w:val="0035653E"/>
    <w:rsid w:val="00361A60"/>
    <w:rsid w:val="003672C4"/>
    <w:rsid w:val="0038507C"/>
    <w:rsid w:val="00387AE9"/>
    <w:rsid w:val="00391C25"/>
    <w:rsid w:val="0039392D"/>
    <w:rsid w:val="00393F43"/>
    <w:rsid w:val="003A6416"/>
    <w:rsid w:val="003A7B59"/>
    <w:rsid w:val="003B18BD"/>
    <w:rsid w:val="003C0224"/>
    <w:rsid w:val="003C51DC"/>
    <w:rsid w:val="003D63A3"/>
    <w:rsid w:val="003D7177"/>
    <w:rsid w:val="003E01E3"/>
    <w:rsid w:val="003E362D"/>
    <w:rsid w:val="003E4BD8"/>
    <w:rsid w:val="003E4EFE"/>
    <w:rsid w:val="003F0B8D"/>
    <w:rsid w:val="00404128"/>
    <w:rsid w:val="00405409"/>
    <w:rsid w:val="00417D07"/>
    <w:rsid w:val="00441167"/>
    <w:rsid w:val="00443694"/>
    <w:rsid w:val="00456C88"/>
    <w:rsid w:val="00461396"/>
    <w:rsid w:val="00465D1D"/>
    <w:rsid w:val="004705EA"/>
    <w:rsid w:val="00472353"/>
    <w:rsid w:val="0048606E"/>
    <w:rsid w:val="00493199"/>
    <w:rsid w:val="00495629"/>
    <w:rsid w:val="0049778C"/>
    <w:rsid w:val="004A088B"/>
    <w:rsid w:val="004A0DE6"/>
    <w:rsid w:val="004A7EC9"/>
    <w:rsid w:val="004B76A1"/>
    <w:rsid w:val="004C008D"/>
    <w:rsid w:val="004C5291"/>
    <w:rsid w:val="004C62E1"/>
    <w:rsid w:val="004D2E23"/>
    <w:rsid w:val="004E34AA"/>
    <w:rsid w:val="004E55D8"/>
    <w:rsid w:val="004F15CE"/>
    <w:rsid w:val="00503E9C"/>
    <w:rsid w:val="00510E05"/>
    <w:rsid w:val="00523F9E"/>
    <w:rsid w:val="005243FF"/>
    <w:rsid w:val="005272B4"/>
    <w:rsid w:val="005410CD"/>
    <w:rsid w:val="00552AA9"/>
    <w:rsid w:val="00554AD1"/>
    <w:rsid w:val="00557493"/>
    <w:rsid w:val="00565D13"/>
    <w:rsid w:val="00566C66"/>
    <w:rsid w:val="00567A41"/>
    <w:rsid w:val="0057208A"/>
    <w:rsid w:val="00573B59"/>
    <w:rsid w:val="0057545E"/>
    <w:rsid w:val="00584AC4"/>
    <w:rsid w:val="005945DF"/>
    <w:rsid w:val="005A29EA"/>
    <w:rsid w:val="005C2FA2"/>
    <w:rsid w:val="005C46B7"/>
    <w:rsid w:val="005D7420"/>
    <w:rsid w:val="005E6F97"/>
    <w:rsid w:val="005E7282"/>
    <w:rsid w:val="005F2698"/>
    <w:rsid w:val="005F40DB"/>
    <w:rsid w:val="00602715"/>
    <w:rsid w:val="00604511"/>
    <w:rsid w:val="0061436D"/>
    <w:rsid w:val="00620DAB"/>
    <w:rsid w:val="00621F27"/>
    <w:rsid w:val="00632DAA"/>
    <w:rsid w:val="0064709C"/>
    <w:rsid w:val="006478E1"/>
    <w:rsid w:val="00661D0D"/>
    <w:rsid w:val="00662EF4"/>
    <w:rsid w:val="00665048"/>
    <w:rsid w:val="00672C6D"/>
    <w:rsid w:val="00674894"/>
    <w:rsid w:val="0068147E"/>
    <w:rsid w:val="00685133"/>
    <w:rsid w:val="0068606C"/>
    <w:rsid w:val="006918DC"/>
    <w:rsid w:val="006A428C"/>
    <w:rsid w:val="006B4A86"/>
    <w:rsid w:val="006B759C"/>
    <w:rsid w:val="006C04B6"/>
    <w:rsid w:val="006C366E"/>
    <w:rsid w:val="006C4836"/>
    <w:rsid w:val="006C4D3E"/>
    <w:rsid w:val="006D4CA8"/>
    <w:rsid w:val="006E2D5A"/>
    <w:rsid w:val="006E70E0"/>
    <w:rsid w:val="006F07CB"/>
    <w:rsid w:val="006F0A14"/>
    <w:rsid w:val="006F338D"/>
    <w:rsid w:val="0071027B"/>
    <w:rsid w:val="00710344"/>
    <w:rsid w:val="00710BB0"/>
    <w:rsid w:val="00722B2E"/>
    <w:rsid w:val="007372B0"/>
    <w:rsid w:val="007412B4"/>
    <w:rsid w:val="00745C42"/>
    <w:rsid w:val="00750732"/>
    <w:rsid w:val="00751AE6"/>
    <w:rsid w:val="00752A53"/>
    <w:rsid w:val="007714DF"/>
    <w:rsid w:val="00771B2C"/>
    <w:rsid w:val="00776837"/>
    <w:rsid w:val="0078033D"/>
    <w:rsid w:val="00783052"/>
    <w:rsid w:val="00784F87"/>
    <w:rsid w:val="00790003"/>
    <w:rsid w:val="007B28C2"/>
    <w:rsid w:val="007B52BD"/>
    <w:rsid w:val="007C0A6F"/>
    <w:rsid w:val="007C4BDD"/>
    <w:rsid w:val="007E1063"/>
    <w:rsid w:val="007F0F1A"/>
    <w:rsid w:val="007F206F"/>
    <w:rsid w:val="0080158E"/>
    <w:rsid w:val="00805BF6"/>
    <w:rsid w:val="0081160A"/>
    <w:rsid w:val="0083450D"/>
    <w:rsid w:val="00847115"/>
    <w:rsid w:val="008565F6"/>
    <w:rsid w:val="00866DF5"/>
    <w:rsid w:val="00872BE9"/>
    <w:rsid w:val="00872C27"/>
    <w:rsid w:val="0087540A"/>
    <w:rsid w:val="00876758"/>
    <w:rsid w:val="00880FB5"/>
    <w:rsid w:val="00883C13"/>
    <w:rsid w:val="00892C45"/>
    <w:rsid w:val="008954EA"/>
    <w:rsid w:val="008A0F02"/>
    <w:rsid w:val="008A4F9E"/>
    <w:rsid w:val="008A6BF3"/>
    <w:rsid w:val="008B1363"/>
    <w:rsid w:val="008B365A"/>
    <w:rsid w:val="008C2D7C"/>
    <w:rsid w:val="008C4D39"/>
    <w:rsid w:val="008C646D"/>
    <w:rsid w:val="008C6887"/>
    <w:rsid w:val="008D58FA"/>
    <w:rsid w:val="008E1200"/>
    <w:rsid w:val="008F11D1"/>
    <w:rsid w:val="008F1DBC"/>
    <w:rsid w:val="008F5CFE"/>
    <w:rsid w:val="008F5DB4"/>
    <w:rsid w:val="00902A27"/>
    <w:rsid w:val="00907807"/>
    <w:rsid w:val="0091637D"/>
    <w:rsid w:val="0092042B"/>
    <w:rsid w:val="00926D2B"/>
    <w:rsid w:val="00931337"/>
    <w:rsid w:val="00934746"/>
    <w:rsid w:val="0093554D"/>
    <w:rsid w:val="00940F53"/>
    <w:rsid w:val="00950106"/>
    <w:rsid w:val="00966068"/>
    <w:rsid w:val="00966C47"/>
    <w:rsid w:val="009714A5"/>
    <w:rsid w:val="00973573"/>
    <w:rsid w:val="00984F14"/>
    <w:rsid w:val="00994843"/>
    <w:rsid w:val="009B65C6"/>
    <w:rsid w:val="009C0572"/>
    <w:rsid w:val="009C1679"/>
    <w:rsid w:val="009C5B40"/>
    <w:rsid w:val="009C5E2E"/>
    <w:rsid w:val="009D23CE"/>
    <w:rsid w:val="009D5ABD"/>
    <w:rsid w:val="009D6297"/>
    <w:rsid w:val="009E0D90"/>
    <w:rsid w:val="009E131E"/>
    <w:rsid w:val="009E23A5"/>
    <w:rsid w:val="009E41F3"/>
    <w:rsid w:val="009F67C8"/>
    <w:rsid w:val="009F6BB3"/>
    <w:rsid w:val="00A008B6"/>
    <w:rsid w:val="00A10D63"/>
    <w:rsid w:val="00A11245"/>
    <w:rsid w:val="00A11BB0"/>
    <w:rsid w:val="00A13D3F"/>
    <w:rsid w:val="00A2196E"/>
    <w:rsid w:val="00A3107C"/>
    <w:rsid w:val="00A32FA5"/>
    <w:rsid w:val="00A33027"/>
    <w:rsid w:val="00A3454A"/>
    <w:rsid w:val="00A345BF"/>
    <w:rsid w:val="00A36E3C"/>
    <w:rsid w:val="00A52402"/>
    <w:rsid w:val="00A63643"/>
    <w:rsid w:val="00A63C87"/>
    <w:rsid w:val="00A7337F"/>
    <w:rsid w:val="00A748CF"/>
    <w:rsid w:val="00A8097C"/>
    <w:rsid w:val="00A817A0"/>
    <w:rsid w:val="00A817FA"/>
    <w:rsid w:val="00A81F46"/>
    <w:rsid w:val="00A83D2C"/>
    <w:rsid w:val="00A875E4"/>
    <w:rsid w:val="00A91B09"/>
    <w:rsid w:val="00A92993"/>
    <w:rsid w:val="00AA2896"/>
    <w:rsid w:val="00AB3816"/>
    <w:rsid w:val="00AB52B8"/>
    <w:rsid w:val="00AB7CED"/>
    <w:rsid w:val="00AC2AAA"/>
    <w:rsid w:val="00AC3272"/>
    <w:rsid w:val="00AD2426"/>
    <w:rsid w:val="00AE0C70"/>
    <w:rsid w:val="00AE18AF"/>
    <w:rsid w:val="00AE6F25"/>
    <w:rsid w:val="00AF46E5"/>
    <w:rsid w:val="00AF4AE1"/>
    <w:rsid w:val="00AF4B5D"/>
    <w:rsid w:val="00B072FF"/>
    <w:rsid w:val="00B11DFA"/>
    <w:rsid w:val="00B217A7"/>
    <w:rsid w:val="00B2305C"/>
    <w:rsid w:val="00B246A0"/>
    <w:rsid w:val="00B5131A"/>
    <w:rsid w:val="00B7712A"/>
    <w:rsid w:val="00B8780B"/>
    <w:rsid w:val="00B95549"/>
    <w:rsid w:val="00B9657C"/>
    <w:rsid w:val="00B97D69"/>
    <w:rsid w:val="00BB5AF5"/>
    <w:rsid w:val="00BC1DE3"/>
    <w:rsid w:val="00BC54B9"/>
    <w:rsid w:val="00BC7D2D"/>
    <w:rsid w:val="00BC7F97"/>
    <w:rsid w:val="00BD1CF7"/>
    <w:rsid w:val="00BD26BB"/>
    <w:rsid w:val="00BD2BF3"/>
    <w:rsid w:val="00BD459C"/>
    <w:rsid w:val="00BD47D1"/>
    <w:rsid w:val="00BE1063"/>
    <w:rsid w:val="00BE2348"/>
    <w:rsid w:val="00BE340E"/>
    <w:rsid w:val="00C02FCA"/>
    <w:rsid w:val="00C06E13"/>
    <w:rsid w:val="00C11B30"/>
    <w:rsid w:val="00C41B41"/>
    <w:rsid w:val="00C43FC3"/>
    <w:rsid w:val="00C53E00"/>
    <w:rsid w:val="00C61685"/>
    <w:rsid w:val="00C65D1E"/>
    <w:rsid w:val="00C76D4E"/>
    <w:rsid w:val="00C84E83"/>
    <w:rsid w:val="00C87A63"/>
    <w:rsid w:val="00C94364"/>
    <w:rsid w:val="00CB74EB"/>
    <w:rsid w:val="00CB7C17"/>
    <w:rsid w:val="00CC4F57"/>
    <w:rsid w:val="00CC6DC8"/>
    <w:rsid w:val="00CE0793"/>
    <w:rsid w:val="00CE1757"/>
    <w:rsid w:val="00CF293D"/>
    <w:rsid w:val="00CF3621"/>
    <w:rsid w:val="00CF64F2"/>
    <w:rsid w:val="00D0153E"/>
    <w:rsid w:val="00D02618"/>
    <w:rsid w:val="00D05F30"/>
    <w:rsid w:val="00D129EB"/>
    <w:rsid w:val="00D166AF"/>
    <w:rsid w:val="00D33A57"/>
    <w:rsid w:val="00D4610F"/>
    <w:rsid w:val="00D526AF"/>
    <w:rsid w:val="00D56165"/>
    <w:rsid w:val="00D56C8C"/>
    <w:rsid w:val="00D67713"/>
    <w:rsid w:val="00D74425"/>
    <w:rsid w:val="00D757EE"/>
    <w:rsid w:val="00D91554"/>
    <w:rsid w:val="00D9177C"/>
    <w:rsid w:val="00D92A33"/>
    <w:rsid w:val="00DA02BF"/>
    <w:rsid w:val="00DA2B39"/>
    <w:rsid w:val="00DA675A"/>
    <w:rsid w:val="00DA7815"/>
    <w:rsid w:val="00DB1D14"/>
    <w:rsid w:val="00DB4034"/>
    <w:rsid w:val="00DB63FD"/>
    <w:rsid w:val="00DC1582"/>
    <w:rsid w:val="00DC2D7E"/>
    <w:rsid w:val="00DD223F"/>
    <w:rsid w:val="00DE05E9"/>
    <w:rsid w:val="00DE348C"/>
    <w:rsid w:val="00DF2EB2"/>
    <w:rsid w:val="00DF3BAD"/>
    <w:rsid w:val="00DF4E64"/>
    <w:rsid w:val="00DF61B1"/>
    <w:rsid w:val="00E003A7"/>
    <w:rsid w:val="00E07F5C"/>
    <w:rsid w:val="00E23582"/>
    <w:rsid w:val="00E342EC"/>
    <w:rsid w:val="00E37477"/>
    <w:rsid w:val="00E43CAB"/>
    <w:rsid w:val="00E44606"/>
    <w:rsid w:val="00E44638"/>
    <w:rsid w:val="00E52F8A"/>
    <w:rsid w:val="00E61E95"/>
    <w:rsid w:val="00E62577"/>
    <w:rsid w:val="00EA070E"/>
    <w:rsid w:val="00EA247A"/>
    <w:rsid w:val="00EA4F0A"/>
    <w:rsid w:val="00EA5019"/>
    <w:rsid w:val="00EB2E7E"/>
    <w:rsid w:val="00EB7D2F"/>
    <w:rsid w:val="00EC4F30"/>
    <w:rsid w:val="00ED732F"/>
    <w:rsid w:val="00EE2B22"/>
    <w:rsid w:val="00EE555D"/>
    <w:rsid w:val="00EE6CAA"/>
    <w:rsid w:val="00EE7A47"/>
    <w:rsid w:val="00EF6037"/>
    <w:rsid w:val="00F00FD7"/>
    <w:rsid w:val="00F0511D"/>
    <w:rsid w:val="00F073B8"/>
    <w:rsid w:val="00F16F69"/>
    <w:rsid w:val="00F2416C"/>
    <w:rsid w:val="00F3394F"/>
    <w:rsid w:val="00F359B0"/>
    <w:rsid w:val="00F35C2B"/>
    <w:rsid w:val="00F408EF"/>
    <w:rsid w:val="00F43570"/>
    <w:rsid w:val="00F43D8B"/>
    <w:rsid w:val="00F56F75"/>
    <w:rsid w:val="00F63CD6"/>
    <w:rsid w:val="00F70592"/>
    <w:rsid w:val="00F7297A"/>
    <w:rsid w:val="00F942FD"/>
    <w:rsid w:val="00F96FA8"/>
    <w:rsid w:val="00FA0352"/>
    <w:rsid w:val="00FA0F44"/>
    <w:rsid w:val="00FA18CD"/>
    <w:rsid w:val="00FA6C46"/>
    <w:rsid w:val="00FB73D2"/>
    <w:rsid w:val="00FC087D"/>
    <w:rsid w:val="00FC3417"/>
    <w:rsid w:val="00FE4A01"/>
    <w:rsid w:val="00FE6954"/>
    <w:rsid w:val="00FF1A8E"/>
    <w:rsid w:val="00FF486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00AC4"/>
  <w15:docId w15:val="{5E391A36-E6A3-4F6B-962D-DC42FBF75F02}"/>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30C"/>
    <w:pPr>
      <w:spacing w:line="288" w:lineRule="auto"/>
      <w:jc w:val="both"/>
      <w:textAlignment w:val="baseline"/>
    </w:pPr>
    <w:rPr>
      <w:color w:val="00000A"/>
      <w:sz w:val="22"/>
      <w:lang w:val="en-GB" w:eastAsia="en-US"/>
    </w:rPr>
  </w:style>
  <w:style w:type="paragraph" w:styleId="Heading1">
    <w:name w:val="heading 1"/>
    <w:basedOn w:val="Normal"/>
    <w:next w:val="Normal"/>
    <w:link w:val="Heading1Char"/>
    <w:qFormat/>
    <w:rsid w:val="0074230C"/>
    <w:pPr>
      <w:numPr>
        <w:numId w:val="1"/>
      </w:numPr>
      <w:outlineLvl w:val="0"/>
    </w:pPr>
  </w:style>
  <w:style w:type="paragraph" w:styleId="Heading2">
    <w:name w:val="heading 2"/>
    <w:basedOn w:val="Normal"/>
    <w:next w:val="Normal"/>
    <w:link w:val="Heading2Char"/>
    <w:qFormat/>
    <w:rsid w:val="0074230C"/>
    <w:pPr>
      <w:numPr>
        <w:ilvl w:val="1"/>
        <w:numId w:val="1"/>
      </w:numPr>
      <w:outlineLvl w:val="1"/>
    </w:pPr>
  </w:style>
  <w:style w:type="paragraph" w:styleId="Heading3">
    <w:name w:val="heading 3"/>
    <w:basedOn w:val="Normal"/>
    <w:next w:val="Normal"/>
    <w:link w:val="Heading3Char"/>
    <w:qFormat/>
    <w:rsid w:val="0074230C"/>
    <w:pPr>
      <w:numPr>
        <w:ilvl w:val="2"/>
        <w:numId w:val="1"/>
      </w:numPr>
      <w:outlineLvl w:val="2"/>
    </w:pPr>
  </w:style>
  <w:style w:type="paragraph" w:styleId="Heading4">
    <w:name w:val="heading 4"/>
    <w:basedOn w:val="Normal"/>
    <w:next w:val="Normal"/>
    <w:link w:val="Heading4Char"/>
    <w:qFormat/>
    <w:rsid w:val="0074230C"/>
    <w:pPr>
      <w:numPr>
        <w:ilvl w:val="3"/>
        <w:numId w:val="1"/>
      </w:numPr>
      <w:ind w:left="720" w:hanging="720"/>
      <w:outlineLvl w:val="3"/>
    </w:pPr>
  </w:style>
  <w:style w:type="paragraph" w:styleId="Heading5">
    <w:name w:val="heading 5"/>
    <w:basedOn w:val="Normal"/>
    <w:next w:val="Normal"/>
    <w:link w:val="Heading5Char"/>
    <w:qFormat/>
    <w:rsid w:val="0074230C"/>
    <w:pPr>
      <w:numPr>
        <w:ilvl w:val="4"/>
        <w:numId w:val="1"/>
      </w:numPr>
      <w:ind w:left="720" w:hanging="720"/>
      <w:outlineLvl w:val="4"/>
    </w:pPr>
  </w:style>
  <w:style w:type="paragraph" w:styleId="Heading6">
    <w:name w:val="heading 6"/>
    <w:basedOn w:val="Normal"/>
    <w:next w:val="Normal"/>
    <w:link w:val="Heading6Char"/>
    <w:qFormat/>
    <w:rsid w:val="0074230C"/>
    <w:pPr>
      <w:numPr>
        <w:ilvl w:val="5"/>
        <w:numId w:val="1"/>
      </w:numPr>
      <w:ind w:left="720" w:hanging="720"/>
      <w:outlineLvl w:val="5"/>
    </w:pPr>
  </w:style>
  <w:style w:type="paragraph" w:styleId="Heading7">
    <w:name w:val="heading 7"/>
    <w:basedOn w:val="Normal"/>
    <w:next w:val="Normal"/>
    <w:link w:val="Heading7Char"/>
    <w:qFormat/>
    <w:rsid w:val="0074230C"/>
    <w:pPr>
      <w:numPr>
        <w:ilvl w:val="6"/>
        <w:numId w:val="1"/>
      </w:numPr>
      <w:ind w:left="720" w:hanging="720"/>
      <w:outlineLvl w:val="6"/>
    </w:pPr>
  </w:style>
  <w:style w:type="paragraph" w:styleId="Heading8">
    <w:name w:val="heading 8"/>
    <w:basedOn w:val="Normal"/>
    <w:next w:val="Normal"/>
    <w:link w:val="Heading8Char"/>
    <w:qFormat/>
    <w:rsid w:val="0074230C"/>
    <w:pPr>
      <w:numPr>
        <w:ilvl w:val="7"/>
        <w:numId w:val="1"/>
      </w:numPr>
      <w:ind w:left="720" w:hanging="720"/>
      <w:outlineLvl w:val="7"/>
    </w:pPr>
  </w:style>
  <w:style w:type="paragraph" w:styleId="Heading9">
    <w:name w:val="heading 9"/>
    <w:basedOn w:val="Normal"/>
    <w:next w:val="Normal"/>
    <w:link w:val="Heading9Char"/>
    <w:qFormat/>
    <w:rsid w:val="0074230C"/>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B22E6E"/>
    <w:rPr>
      <w:sz w:val="22"/>
      <w:lang w:val="en-GB" w:eastAsia="en-US"/>
    </w:rPr>
  </w:style>
  <w:style w:type="character" w:customStyle="1" w:styleId="Heading2Char">
    <w:name w:val="Heading 2 Char"/>
    <w:basedOn w:val="DefaultParagraphFont"/>
    <w:link w:val="Heading2"/>
    <w:qFormat/>
    <w:rsid w:val="00767446"/>
    <w:rPr>
      <w:sz w:val="22"/>
      <w:lang w:val="en-GB" w:eastAsia="en-US"/>
    </w:rPr>
  </w:style>
  <w:style w:type="character" w:customStyle="1" w:styleId="Heading3Char">
    <w:name w:val="Heading 3 Char"/>
    <w:basedOn w:val="DefaultParagraphFont"/>
    <w:link w:val="Heading3"/>
    <w:qFormat/>
    <w:rsid w:val="006B3921"/>
    <w:rPr>
      <w:sz w:val="22"/>
      <w:lang w:val="en-GB" w:eastAsia="en-US"/>
    </w:rPr>
  </w:style>
  <w:style w:type="character" w:customStyle="1" w:styleId="Heading4Char">
    <w:name w:val="Heading 4 Char"/>
    <w:basedOn w:val="DefaultParagraphFont"/>
    <w:link w:val="Heading4"/>
    <w:qFormat/>
    <w:rsid w:val="00B22E6E"/>
    <w:rPr>
      <w:sz w:val="22"/>
      <w:lang w:val="en-GB" w:eastAsia="en-US"/>
    </w:rPr>
  </w:style>
  <w:style w:type="character" w:customStyle="1" w:styleId="Heading5Char">
    <w:name w:val="Heading 5 Char"/>
    <w:basedOn w:val="DefaultParagraphFont"/>
    <w:link w:val="Heading5"/>
    <w:qFormat/>
    <w:rsid w:val="00B22E6E"/>
    <w:rPr>
      <w:sz w:val="22"/>
      <w:lang w:val="en-GB" w:eastAsia="en-US"/>
    </w:rPr>
  </w:style>
  <w:style w:type="character" w:customStyle="1" w:styleId="Heading6Char">
    <w:name w:val="Heading 6 Char"/>
    <w:basedOn w:val="DefaultParagraphFont"/>
    <w:link w:val="Heading6"/>
    <w:qFormat/>
    <w:rsid w:val="00B22E6E"/>
    <w:rPr>
      <w:sz w:val="22"/>
      <w:lang w:val="en-GB" w:eastAsia="en-US"/>
    </w:rPr>
  </w:style>
  <w:style w:type="character" w:customStyle="1" w:styleId="Heading7Char">
    <w:name w:val="Heading 7 Char"/>
    <w:basedOn w:val="DefaultParagraphFont"/>
    <w:link w:val="Heading7"/>
    <w:qFormat/>
    <w:rsid w:val="00B22E6E"/>
    <w:rPr>
      <w:sz w:val="22"/>
      <w:lang w:val="en-GB" w:eastAsia="en-US"/>
    </w:rPr>
  </w:style>
  <w:style w:type="character" w:customStyle="1" w:styleId="Heading8Char">
    <w:name w:val="Heading 8 Char"/>
    <w:basedOn w:val="DefaultParagraphFont"/>
    <w:link w:val="Heading8"/>
    <w:qFormat/>
    <w:rsid w:val="00B22E6E"/>
    <w:rPr>
      <w:sz w:val="22"/>
      <w:lang w:val="en-GB" w:eastAsia="en-US"/>
    </w:rPr>
  </w:style>
  <w:style w:type="character" w:customStyle="1" w:styleId="Heading9Char">
    <w:name w:val="Heading 9 Char"/>
    <w:basedOn w:val="DefaultParagraphFont"/>
    <w:link w:val="Heading9"/>
    <w:qFormat/>
    <w:rsid w:val="00B22E6E"/>
    <w:rPr>
      <w:sz w:val="22"/>
      <w:lang w:val="en-GB" w:eastAsia="en-US"/>
    </w:rPr>
  </w:style>
  <w:style w:type="character" w:customStyle="1" w:styleId="FooterChar">
    <w:name w:val="Footer Char"/>
    <w:basedOn w:val="DefaultParagraphFont"/>
    <w:link w:val="Footer"/>
    <w:qFormat/>
    <w:rsid w:val="00B22E6E"/>
    <w:rPr>
      <w:color w:val="00000A"/>
      <w:sz w:val="22"/>
      <w:lang w:val="en-GB" w:eastAsia="en-US"/>
    </w:rPr>
  </w:style>
  <w:style w:type="character" w:customStyle="1" w:styleId="FootnoteTextChar">
    <w:name w:val="Footnote Text Char"/>
    <w:basedOn w:val="DefaultParagraphFont"/>
    <w:link w:val="FootnoteText"/>
    <w:qFormat/>
    <w:rsid w:val="00B22E6E"/>
    <w:rPr>
      <w:sz w:val="16"/>
      <w:lang w:val="en-GB" w:eastAsia="en-US"/>
    </w:rPr>
  </w:style>
  <w:style w:type="character" w:customStyle="1" w:styleId="HeaderChar">
    <w:name w:val="Header Char"/>
    <w:basedOn w:val="DefaultParagraphFont"/>
    <w:link w:val="Header"/>
    <w:qFormat/>
    <w:rsid w:val="00B22E6E"/>
    <w:rPr>
      <w:color w:val="00000A"/>
      <w:sz w:val="22"/>
      <w:lang w:val="en-GB" w:eastAsia="en-US"/>
    </w:rPr>
  </w:style>
  <w:style w:type="character" w:customStyle="1" w:styleId="InternetLink">
    <w:name w:val="Internet Link"/>
    <w:basedOn w:val="DefaultParagraphFont"/>
    <w:uiPriority w:val="99"/>
    <w:rPr>
      <w:rFonts w:cs="Times New Roman"/>
      <w:color w:val="0000FF"/>
      <w:u w:val="single"/>
    </w:rPr>
  </w:style>
  <w:style w:type="character" w:styleId="FootnoteReference">
    <w:name w:val="footnote reference"/>
    <w:basedOn w:val="DefaultParagraphFont"/>
    <w:qFormat/>
    <w:rsid w:val="0074230C"/>
    <w:rPr>
      <w:sz w:val="24"/>
      <w:vertAlign w:val="superscript"/>
    </w:rPr>
  </w:style>
  <w:style w:type="character" w:styleId="FollowedHyperlink">
    <w:name w:val="FollowedHyperlink"/>
    <w:basedOn w:val="DefaultParagraphFont"/>
    <w:uiPriority w:val="99"/>
    <w:qFormat/>
    <w:rPr>
      <w:rFonts w:cs="Times New Roman"/>
      <w:color w:val="800080"/>
      <w:u w:val="single"/>
    </w:rPr>
  </w:style>
  <w:style w:type="paragraph" w:styleId="Footer">
    <w:name w:val="footer"/>
    <w:basedOn w:val="Normal"/>
    <w:link w:val="FooterChar"/>
    <w:rsid w:val="0074230C"/>
  </w:style>
  <w:style w:type="paragraph" w:styleId="FootnoteText">
    <w:name w:val="footnote text"/>
    <w:basedOn w:val="Normal"/>
    <w:link w:val="FootnoteTextChar"/>
    <w:qFormat/>
    <w:rsid w:val="0074230C"/>
    <w:pPr>
      <w:keepLines/>
      <w:spacing w:after="60" w:line="240" w:lineRule="auto"/>
      <w:ind w:left="720" w:hanging="720"/>
    </w:pPr>
    <w:rPr>
      <w:sz w:val="16"/>
    </w:rPr>
  </w:style>
  <w:style w:type="paragraph" w:styleId="Header">
    <w:name w:val="header"/>
    <w:basedOn w:val="Normal"/>
    <w:link w:val="HeaderChar"/>
    <w:rsid w:val="0074230C"/>
  </w:style>
  <w:style w:type="paragraph" w:customStyle="1" w:styleId="LOGO">
    <w:name w:val="LOGO"/>
    <w:basedOn w:val="Normal"/>
    <w:qFormat/>
    <w:pPr>
      <w:jc w:val="center"/>
    </w:pPr>
    <w:rPr>
      <w:rFonts w:ascii="Arial" w:hAnsi="Arial"/>
      <w:b/>
      <w:i/>
      <w:sz w:val="20"/>
    </w:rPr>
  </w:style>
  <w:style w:type="paragraph" w:styleId="ListParagraph">
    <w:name w:val="List Paragraph"/>
    <w:basedOn w:val="Normal"/>
    <w:uiPriority w:val="34"/>
    <w:qFormat/>
    <w:rsid w:val="00BA5828"/>
    <w:pPr>
      <w:ind w:left="720"/>
      <w:contextualSpacing/>
    </w:pPr>
  </w:style>
  <w:style w:type="table" w:styleId="TableGrid">
    <w:name w:val="Table Grid"/>
    <w:basedOn w:val="TableNormal"/>
    <w:uiPriority w:val="39"/>
    <w:rsid w:val="00DE42AB"/>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B40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DB4034"/>
    <w:rPr>
      <w:rFonts w:ascii="Segoe UI" w:hAnsi="Segoe UI" w:cs="Segoe UI"/>
      <w:color w:val="00000A"/>
      <w:sz w:val="18"/>
      <w:szCs w:val="18"/>
      <w:lang w:val="en-GB" w:eastAsia="en-US"/>
    </w:rPr>
  </w:style>
  <w:style w:type="character" w:styleId="Hyperlink">
    <w:name w:val="Hyperlink"/>
    <w:basedOn w:val="DefaultParagraphFont"/>
    <w:uiPriority w:val="99"/>
    <w:unhideWhenUsed/>
    <w:rsid w:val="004C62E1"/>
    <w:rPr>
      <w:color w:val="0000FF" w:themeColor="hyperlink"/>
      <w:u w:val="single"/>
    </w:rPr>
  </w:style>
  <w:style w:type="character" w:styleId="CommentReference">
    <w:name w:val="annotation reference"/>
    <w:basedOn w:val="DefaultParagraphFont"/>
    <w:semiHidden/>
    <w:unhideWhenUsed/>
    <w:rsid w:val="00604511"/>
    <w:rPr>
      <w:sz w:val="16"/>
      <w:szCs w:val="16"/>
    </w:rPr>
  </w:style>
  <w:style w:type="paragraph" w:styleId="CommentText">
    <w:name w:val="annotation text"/>
    <w:basedOn w:val="Normal"/>
    <w:link w:val="CommentTextChar"/>
    <w:semiHidden/>
    <w:unhideWhenUsed/>
    <w:rsid w:val="00604511"/>
    <w:pPr>
      <w:spacing w:line="240" w:lineRule="auto"/>
    </w:pPr>
    <w:rPr>
      <w:sz w:val="20"/>
    </w:rPr>
  </w:style>
  <w:style w:type="character" w:customStyle="1" w:styleId="CommentTextChar">
    <w:name w:val="Comment Text Char"/>
    <w:basedOn w:val="DefaultParagraphFont"/>
    <w:link w:val="CommentText"/>
    <w:semiHidden/>
    <w:rsid w:val="00604511"/>
    <w:rPr>
      <w:color w:val="00000A"/>
      <w:lang w:val="en-GB" w:eastAsia="en-US"/>
    </w:rPr>
  </w:style>
  <w:style w:type="paragraph" w:styleId="CommentSubject">
    <w:name w:val="annotation subject"/>
    <w:basedOn w:val="CommentText"/>
    <w:next w:val="CommentText"/>
    <w:link w:val="CommentSubjectChar"/>
    <w:semiHidden/>
    <w:unhideWhenUsed/>
    <w:rsid w:val="00604511"/>
    <w:rPr>
      <w:b/>
      <w:bCs/>
    </w:rPr>
  </w:style>
  <w:style w:type="character" w:customStyle="1" w:styleId="CommentSubjectChar">
    <w:name w:val="Comment Subject Char"/>
    <w:basedOn w:val="CommentTextChar"/>
    <w:link w:val="CommentSubject"/>
    <w:semiHidden/>
    <w:rsid w:val="00604511"/>
    <w:rPr>
      <w:b/>
      <w:bCs/>
      <w:color w:val="00000A"/>
      <w:lang w:val="en-GB" w:eastAsia="en-US"/>
    </w:rPr>
  </w:style>
  <w:style w:type="paragraph" w:styleId="Revision">
    <w:name w:val="Revision"/>
    <w:hidden/>
    <w:uiPriority w:val="99"/>
    <w:semiHidden/>
    <w:rsid w:val="008F11D1"/>
    <w:rPr>
      <w:color w:val="00000A"/>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743117">
      <w:bodyDiv w:val="1"/>
      <w:marLeft w:val="0"/>
      <w:marRight w:val="0"/>
      <w:marTop w:val="0"/>
      <w:marBottom w:val="0"/>
      <w:divBdr>
        <w:top w:val="none" w:sz="0" w:space="0" w:color="auto"/>
        <w:left w:val="none" w:sz="0" w:space="0" w:color="auto"/>
        <w:bottom w:val="none" w:sz="0" w:space="0" w:color="auto"/>
        <w:right w:val="none" w:sz="0" w:space="0" w:color="auto"/>
      </w:divBdr>
    </w:div>
    <w:div w:id="1215383557">
      <w:bodyDiv w:val="1"/>
      <w:marLeft w:val="0"/>
      <w:marRight w:val="0"/>
      <w:marTop w:val="0"/>
      <w:marBottom w:val="0"/>
      <w:divBdr>
        <w:top w:val="none" w:sz="0" w:space="0" w:color="auto"/>
        <w:left w:val="none" w:sz="0" w:space="0" w:color="auto"/>
        <w:bottom w:val="none" w:sz="0" w:space="0" w:color="auto"/>
        <w:right w:val="none" w:sz="0" w:space="0" w:color="auto"/>
      </w:divBdr>
    </w:div>
    <w:div w:id="1362168662">
      <w:bodyDiv w:val="1"/>
      <w:marLeft w:val="0"/>
      <w:marRight w:val="0"/>
      <w:marTop w:val="0"/>
      <w:marBottom w:val="0"/>
      <w:divBdr>
        <w:top w:val="none" w:sz="0" w:space="0" w:color="auto"/>
        <w:left w:val="none" w:sz="0" w:space="0" w:color="auto"/>
        <w:bottom w:val="none" w:sz="0" w:space="0" w:color="auto"/>
        <w:right w:val="none" w:sz="0" w:space="0" w:color="auto"/>
      </w:divBdr>
    </w:div>
    <w:div w:id="1559828220">
      <w:bodyDiv w:val="1"/>
      <w:marLeft w:val="0"/>
      <w:marRight w:val="0"/>
      <w:marTop w:val="0"/>
      <w:marBottom w:val="0"/>
      <w:divBdr>
        <w:top w:val="none" w:sz="0" w:space="0" w:color="auto"/>
        <w:left w:val="none" w:sz="0" w:space="0" w:color="auto"/>
        <w:bottom w:val="none" w:sz="0" w:space="0" w:color="auto"/>
        <w:right w:val="none" w:sz="0" w:space="0" w:color="auto"/>
      </w:divBdr>
    </w:div>
    <w:div w:id="1681614224">
      <w:bodyDiv w:val="1"/>
      <w:marLeft w:val="0"/>
      <w:marRight w:val="0"/>
      <w:marTop w:val="0"/>
      <w:marBottom w:val="0"/>
      <w:divBdr>
        <w:top w:val="none" w:sz="0" w:space="0" w:color="auto"/>
        <w:left w:val="none" w:sz="0" w:space="0" w:color="auto"/>
        <w:bottom w:val="none" w:sz="0" w:space="0" w:color="auto"/>
        <w:right w:val="none" w:sz="0" w:space="0" w:color="auto"/>
      </w:divBdr>
    </w:div>
    <w:div w:id="1701081877">
      <w:bodyDiv w:val="1"/>
      <w:marLeft w:val="0"/>
      <w:marRight w:val="0"/>
      <w:marTop w:val="0"/>
      <w:marBottom w:val="0"/>
      <w:divBdr>
        <w:top w:val="none" w:sz="0" w:space="0" w:color="auto"/>
        <w:left w:val="none" w:sz="0" w:space="0" w:color="auto"/>
        <w:bottom w:val="none" w:sz="0" w:space="0" w:color="auto"/>
        <w:right w:val="none" w:sz="0" w:space="0" w:color="auto"/>
      </w:divBdr>
    </w:div>
    <w:div w:id="1902593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1" Type="http://schemas.openxmlformats.org/officeDocument/2006/relationships/footer" Target="footer5.xml"/><Relationship Id="rId34" Type="http://schemas.openxmlformats.org/officeDocument/2006/relationships/customXml" Target="../customXml/item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33" Type="http://schemas.openxmlformats.org/officeDocument/2006/relationships/customXml" Target="../customXml/item3.xml"/><Relationship Id="rId16" Type="http://schemas.openxmlformats.org/officeDocument/2006/relationships/header" Target="header3.xml"/><Relationship Id="rId20" Type="http://schemas.openxmlformats.org/officeDocument/2006/relationships/footer" Target="footer4.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32" Type="http://schemas.openxmlformats.org/officeDocument/2006/relationships/customXml" Target="../customXml/item2.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30" Type="http://schemas.microsoft.com/office/2016/09/relationships/commentsIds" Target="commentsIds.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C8AAC01E6EC9A04BA0219D5F488D50F5" ma:contentTypeVersion="4" ma:contentTypeDescription="Defines the documents for Document Manager V2" ma:contentTypeScope="" ma:versionID="b44bfd7038e6d5b140005b17db0604a6">
  <xsd:schema xmlns:xsd="http://www.w3.org/2001/XMLSchema" xmlns:xs="http://www.w3.org/2001/XMLSchema" xmlns:p="http://schemas.microsoft.com/office/2006/metadata/properties" xmlns:ns2="cda99570-6012-4083-bfeb-7d32ad1ce1a3" xmlns:ns3="http://schemas.microsoft.com/sharepoint/v3/fields" xmlns:ns4="7e251a1d-ec51-4e50-a0f2-54133721ed03" targetNamespace="http://schemas.microsoft.com/office/2006/metadata/properties" ma:root="true" ma:fieldsID="aa5e50371a334cc8f93fae6f86045840" ns2:_="" ns3:_="" ns4:_="">
    <xsd:import namespace="cda99570-6012-4083-bfeb-7d32ad1ce1a3"/>
    <xsd:import namespace="http://schemas.microsoft.com/sharepoint/v3/fields"/>
    <xsd:import namespace="7e251a1d-ec51-4e50-a0f2-54133721ed03"/>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251a1d-ec51-4e50-a0f2-54133721ed03"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VV634QRNENMJ-1473583191-6218</_dlc_DocId>
    <_dlc_DocIdUrl xmlns="cda99570-6012-4083-bfeb-7d32ad1ce1a3">
      <Url>http://dm2016/eesc/2020/_layouts/15/DocIdRedir.aspx?ID=VV634QRNENMJ-1473583191-6218</Url>
      <Description>VV634QRNENMJ-1473583191-6218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RI</TermName>
          <TermId xmlns="http://schemas.microsoft.com/office/infopath/2007/PartnerControls">0e66e8df-1601-4fe1-947b-eb539760261a</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2020-06-15T12:00:00+00:00</ProductionDate>
    <FicheYear xmlns="cda99570-6012-4083-bfeb-7d32ad1ce1a3">2020</FicheYear>
    <DocumentNumber xmlns="7e251a1d-ec51-4e50-a0f2-54133721ed03">330</DocumentNumber>
    <DocumentVersion xmlns="cda99570-6012-4083-bfeb-7d32ad1ce1a3">1</DocumentVersion>
    <DossierNumber xmlns="cda99570-6012-4083-bfeb-7d32ad1ce1a3">172</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2020-06-10T12:00:00+00:00</MeetingDate>
    <TaxCatchAll xmlns="cda99570-6012-4083-bfeb-7d32ad1ce1a3">
      <Value>31</Value>
      <Value>73</Value>
      <Value>51</Value>
      <Value>48</Value>
      <Value>47</Value>
      <Value>46</Value>
      <Value>45</Value>
      <Value>44</Value>
      <Value>43</Value>
      <Value>41</Value>
      <Value>40</Value>
      <Value>39</Value>
      <Value>38</Value>
      <Value>36</Value>
      <Value>34</Value>
      <Value>32</Value>
      <Value>120</Value>
      <Value>30</Value>
      <Value>29</Value>
      <Value>24</Value>
      <Value>16</Value>
      <Value>13</Value>
      <Value>11</Value>
      <Value>10</Value>
      <Value>9</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Rapporteur xmlns="cda99570-6012-4083-bfeb-7d32ad1ce1a3">PLOSCEANU &amp; GIBELLIERI</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cda99570-6012-4083-bfeb-7d32ad1ce1a3">2020</DocumentYear>
    <FicheNumber xmlns="cda99570-6012-4083-bfeb-7d32ad1ce1a3">6040</FicheNumber>
    <DocumentPart xmlns="cda99570-6012-4083-bfeb-7d32ad1ce1a3">0</DocumentPart>
    <AdoptionDate xmlns="cda99570-6012-4083-bfeb-7d32ad1ce1a3" xsi:nil="true"/>
    <RequestingService xmlns="cda99570-6012-4083-bfeb-7d32ad1ce1a3">Commission consultative des mutations industrielles</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e251a1d-ec51-4e50-a0f2-54133721ed03">552</MeetingNumber>
    <DossierName_0 xmlns="http://schemas.microsoft.com/sharepoint/v3/fields">
      <Terms xmlns="http://schemas.microsoft.com/office/infopath/2007/PartnerControls">
        <TermInfo xmlns="http://schemas.microsoft.com/office/infopath/2007/PartnerControls">
          <TermName xmlns="http://schemas.microsoft.com/office/infopath/2007/PartnerControls">CCMI</TermName>
          <TermId xmlns="http://schemas.microsoft.com/office/infopath/2007/PartnerControls">3451ec22-e6ff-42b3-8610-379fec773b3a</TermId>
        </TermInfo>
      </Terms>
    </DossierName_0>
  </documentManagement>
</p:properties>
</file>

<file path=customXml/itemProps1.xml><?xml version="1.0" encoding="utf-8"?>
<ds:datastoreItem xmlns:ds="http://schemas.openxmlformats.org/officeDocument/2006/customXml" ds:itemID="{4CDB46AC-40B8-4252-9A7B-BB08A11E4A4A}"/>
</file>

<file path=customXml/itemProps2.xml><?xml version="1.0" encoding="utf-8"?>
<ds:datastoreItem xmlns:ds="http://schemas.openxmlformats.org/officeDocument/2006/customXml" ds:itemID="{59F93680-7798-4629-962C-59B49026E1DA}"/>
</file>

<file path=customXml/itemProps3.xml><?xml version="1.0" encoding="utf-8"?>
<ds:datastoreItem xmlns:ds="http://schemas.openxmlformats.org/officeDocument/2006/customXml" ds:itemID="{5B119E1E-2640-48E1-8A07-6323C9ABE80A}"/>
</file>

<file path=customXml/itemProps4.xml><?xml version="1.0" encoding="utf-8"?>
<ds:datastoreItem xmlns:ds="http://schemas.openxmlformats.org/officeDocument/2006/customXml" ds:itemID="{C68ACFD5-E566-481C-BC3E-C66B29BD1283}"/>
</file>

<file path=docProps/app.xml><?xml version="1.0" encoding="utf-8"?>
<Properties xmlns="http://schemas.openxmlformats.org/officeDocument/2006/extended-properties" xmlns:vt="http://schemas.openxmlformats.org/officeDocument/2006/docPropsVTypes">
  <Template>Styles</Template>
  <TotalTime>0</TotalTime>
  <Pages>2</Pages>
  <Words>2945</Words>
  <Characters>16790</Characters>
  <Application>Microsoft Office Word</Application>
  <DocSecurity>0</DocSecurity>
  <Lines>139</Lines>
  <Paragraphs>39</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Revision of the Machinery Directive</vt:lpstr>
      <vt:lpstr>Working with asbestos in energy renovation (information report)</vt:lpstr>
      <vt:lpstr>Working with asbestos in energy renovation (information report)</vt:lpstr>
    </vt:vector>
  </TitlesOfParts>
  <Company>CESE-CdR</Company>
  <LinksUpToDate>false</LinksUpToDate>
  <CharactersWithSpaces>19696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 Revision of the Machinery Directive</dc:title>
  <dc:subject>Information report</dc:subject>
  <dc:creator>Catherine Jarosz</dc:creator>
  <cp:keywords>EESC-2020-00330-00-01-RI-TRA-EN</cp:keywords>
  <dc:description>Rapporteur: - PLOSCEANU &amp; GIBELLIERI Original language: - EN Date of document: - 15/06/2020 Date of meeting: - 10/06/2020 External documents: -  Administrator responsible: -  CABANNE Cédric</dc:description>
  <cp:lastModifiedBy>TDriveSVCUserProd</cp:lastModifiedBy>
  <cp:revision>4</cp:revision>
  <cp:lastPrinted>2020-02-04T16:08:00Z</cp:lastPrinted>
  <dcterms:created xsi:type="dcterms:W3CDTF">2020-06-15T07:27:00Z</dcterms:created>
  <dcterms:modified xsi:type="dcterms:W3CDTF">2020-06-15T07:31:00Z</dcterms:modified>
  <cp:category>CCMI/172</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Date">
    <vt:lpwstr>15/06/2020, 02/03/2020, 02/03/2020, 19/02/2020, 13/02/2020, 29/11/2018, 29/11/2018, 16/03/2018, 16/03/2018, 16/03/2018, 27/02/2018, 27/02/2018, 28/11/2016, 20/10/2016, 20/10/2016</vt:lpwstr>
  </property>
  <property fmtid="{D5CDD505-2E9C-101B-9397-08002B2CF9AE}" pid="3" name="Pref_FileName">
    <vt:lpwstr>EESC-2020-00330-00-01-RI-ORI.docx, EESC-2020-00330-00-00-RI-TRA-EN-CRR.docx, EESC-2020-00330-00-00-RI-CRR-EN.docx, EESC-2020-00330-00-01-PRI-ORI.docx, EESC-2020-00330-00-00-PRI-ORI.docx, EESC-2018-04791-00-00-DT-TRA-EN-CRR.docx, EESC-2018-04791-00-00-DT-C</vt:lpwstr>
  </property>
  <property fmtid="{D5CDD505-2E9C-101B-9397-08002B2CF9AE}" pid="4" name="Pref_Time">
    <vt:lpwstr>09:22:55, 11:46:48, 11:34:04, 09:42:48, 11:58:21, 14:39:03, 14:26:53, 12:51:26, 11:53:54, 11:12:49, 16:53:33, 16:50:48, 11:36:38, 11:53:59, 11:37:47</vt:lpwstr>
  </property>
  <property fmtid="{D5CDD505-2E9C-101B-9397-08002B2CF9AE}" pid="5" name="Pref_User">
    <vt:lpwstr>mkop, mkop, YMUR, jhvi, enied, LAchi, htoo, mreg, mreg, ssex, enied, nmcg, enied, enied, ssex</vt:lpwstr>
  </property>
  <property fmtid="{D5CDD505-2E9C-101B-9397-08002B2CF9AE}" pid="6" name="Pref_formatted">
    <vt:bool>true</vt:bool>
  </property>
  <property fmtid="{D5CDD505-2E9C-101B-9397-08002B2CF9AE}" pid="7" name="ContentTypeId">
    <vt:lpwstr>0x010100EA97B91038054C99906057A708A1480A00C8AAC01E6EC9A04BA0219D5F488D50F5</vt:lpwstr>
  </property>
  <property fmtid="{D5CDD505-2E9C-101B-9397-08002B2CF9AE}" pid="8" name="_dlc_DocIdItemGuid">
    <vt:lpwstr>2e6518e9-3a82-4887-ba88-2d3347e02440</vt:lpwstr>
  </property>
  <property fmtid="{D5CDD505-2E9C-101B-9397-08002B2CF9AE}" pid="9" name="AvailableTranslations">
    <vt:lpwstr>47;#ET|ff6c3f4c-b02c-4c3c-ab07-2c37995a7a0a;#16;#ES|e7a6b05b-ae16-40c8-add9-68b64b03aeba;#39;#HU|6b229040-c589-4408-b4c1-4285663d20a8;#4;#EN|f2175f21-25d7-44a3-96da-d6a61b075e1b;#45;#FI|87606a43-d45f-42d6-b8c9-e1a3457db5b7;#32;#DA|5d49c027-8956-412b-aa16-e85a0f96ad0e;#31;#CS|72f9705b-0217-4fd3-bea2-cbc7ed80e26e;#41;#NL|55c6556c-b4f4-441d-9acf-c498d4f838bd;#10;#DE|f6b31e5a-26fa-4935-b661-318e46daf27e;#29;#PT|50ccc04a-eadd-42ae-a0cb-acaf45f812ba;#48;#RO|feb747a2-64cd-4299-af12-4833ddc30497;#46;#SK|46d9fce0-ef79-4f71-b89b-cd6aa82426b8;#13;#IT|0774613c-01ed-4e5d-a25d-11d2388de825;#40;#SV|c2ed69e7-a339-43d7-8f22-d93680a92aa0;#30;#LT|a7ff5ce7-6123-4f68-865a-a57c31810414;#24;#LV|46f7e311-5d9f-4663-b433-18aeccb7ace7;#34;#SL|98a412ae-eb01-49e9-ae3d-585a81724cfc;#44;#BG|1a1b3951-7821-4e6a-85f5-5673fc08bd2c;#11;#FR|d2afafd3-4c81-4f60-8f52-ee33f2f54ff3;#43;#HR|2f555653-ed1a-4fe6-8362-9082d95989e5;#38;#EL|6d4f4d51-af9b-4650-94b4-4276bee85c91;#9;#PL|1e03da61-4678-4e07-b136-b5024ca9197b;#36;#MT|7df99101-6854-4a26-b53a-b88c0da02c26</vt:lpwstr>
  </property>
  <property fmtid="{D5CDD505-2E9C-101B-9397-08002B2CF9AE}" pid="10" name="DocumentType_0">
    <vt:lpwstr>RI|0e66e8df-1601-4fe1-947b-eb539760261a</vt:lpwstr>
  </property>
  <property fmtid="{D5CDD505-2E9C-101B-9397-08002B2CF9AE}" pid="11" name="MeetingNumber">
    <vt:i4>552</vt:i4>
  </property>
  <property fmtid="{D5CDD505-2E9C-101B-9397-08002B2CF9AE}" pid="12" name="DossierName_0">
    <vt:lpwstr>CCMI|3451ec22-e6ff-42b3-8610-379fec773b3a</vt:lpwstr>
  </property>
  <property fmtid="{D5CDD505-2E9C-101B-9397-08002B2CF9AE}" pid="13" name="DocumentSource_0">
    <vt:lpwstr>EESC|422833ec-8d7e-4e65-8e4e-8bed07ffb729</vt:lpwstr>
  </property>
  <property fmtid="{D5CDD505-2E9C-101B-9397-08002B2CF9AE}" pid="14" name="DocumentNumber">
    <vt:i4>330</vt:i4>
  </property>
  <property fmtid="{D5CDD505-2E9C-101B-9397-08002B2CF9AE}" pid="15" name="FicheYear">
    <vt:i4>2020</vt:i4>
  </property>
  <property fmtid="{D5CDD505-2E9C-101B-9397-08002B2CF9AE}" pid="16" name="DocumentVersion">
    <vt:i4>1</vt:i4>
  </property>
  <property fmtid="{D5CDD505-2E9C-101B-9397-08002B2CF9AE}" pid="17" name="DossierNumber">
    <vt:i4>172</vt:i4>
  </property>
  <property fmtid="{D5CDD505-2E9C-101B-9397-08002B2CF9AE}" pid="18" name="DocumentStatus">
    <vt:lpwstr>2;#TRA|150d2a88-1431-44e6-a8ca-0bb753ab8672</vt:lpwstr>
  </property>
  <property fmtid="{D5CDD505-2E9C-101B-9397-08002B2CF9AE}" pid="19" name="DocumentPart">
    <vt:i4>0</vt:i4>
  </property>
  <property fmtid="{D5CDD505-2E9C-101B-9397-08002B2CF9AE}" pid="20" name="DossierName">
    <vt:lpwstr>73;#CCMI|3451ec22-e6ff-42b3-8610-379fec773b3a</vt:lpwstr>
  </property>
  <property fmtid="{D5CDD505-2E9C-101B-9397-08002B2CF9AE}" pid="21" name="DocumentSource">
    <vt:lpwstr>1;#EESC|422833ec-8d7e-4e65-8e4e-8bed07ffb729</vt:lpwstr>
  </property>
  <property fmtid="{D5CDD505-2E9C-101B-9397-08002B2CF9AE}" pid="23" name="DocumentType">
    <vt:lpwstr>120;#RI|0e66e8df-1601-4fe1-947b-eb539760261a</vt:lpwstr>
  </property>
  <property fmtid="{D5CDD505-2E9C-101B-9397-08002B2CF9AE}" pid="24" name="RequestingService">
    <vt:lpwstr>Commission consultative des mutations industrielles</vt:lpwstr>
  </property>
  <property fmtid="{D5CDD505-2E9C-101B-9397-08002B2CF9AE}" pid="25" name="Confidentiality">
    <vt:lpwstr>5;#Unrestricted|826e22d7-d029-4ec0-a450-0c28ff673572</vt:lpwstr>
  </property>
  <property fmtid="{D5CDD505-2E9C-101B-9397-08002B2CF9AE}" pid="26" name="MeetingName_0">
    <vt:lpwstr>SPL-CES|32d8cb1f-c9ec-4365-95c7-8385a18618ac</vt:lpwstr>
  </property>
  <property fmtid="{D5CDD505-2E9C-101B-9397-08002B2CF9AE}" pid="27" name="Confidentiality_0">
    <vt:lpwstr>Unrestricted|826e22d7-d029-4ec0-a450-0c28ff673572</vt:lpwstr>
  </property>
  <property fmtid="{D5CDD505-2E9C-101B-9397-08002B2CF9AE}" pid="28" name="OriginalLanguage">
    <vt:lpwstr>4;#EN|f2175f21-25d7-44a3-96da-d6a61b075e1b</vt:lpwstr>
  </property>
  <property fmtid="{D5CDD505-2E9C-101B-9397-08002B2CF9AE}" pid="29" name="MeetingName">
    <vt:lpwstr>51;#SPL-CES|32d8cb1f-c9ec-4365-95c7-8385a18618ac</vt:lpwstr>
  </property>
  <property fmtid="{D5CDD505-2E9C-101B-9397-08002B2CF9AE}" pid="30" name="MeetingDate">
    <vt:filetime>2020-06-10T12:00:00Z</vt:filetime>
  </property>
  <property fmtid="{D5CDD505-2E9C-101B-9397-08002B2CF9AE}" pid="31" name="AvailableTranslations_0">
    <vt:lpwstr/>
  </property>
  <property fmtid="{D5CDD505-2E9C-101B-9397-08002B2CF9AE}" pid="32" name="DocumentStatus_0">
    <vt:lpwstr>TRA|150d2a88-1431-44e6-a8ca-0bb753ab8672</vt:lpwstr>
  </property>
  <property fmtid="{D5CDD505-2E9C-101B-9397-08002B2CF9AE}" pid="33" name="OriginalLanguage_0">
    <vt:lpwstr>EN|f2175f21-25d7-44a3-96da-d6a61b075e1b</vt:lpwstr>
  </property>
  <property fmtid="{D5CDD505-2E9C-101B-9397-08002B2CF9AE}" pid="34" name="TaxCatchAll">
    <vt:lpwstr>5;#Unrestricted|826e22d7-d029-4ec0-a450-0c28ff673572;#120;#RI|0e66e8df-1601-4fe1-947b-eb539760261a;#6;#Final|ea5e6674-7b27-4bac-b091-73adbb394efe;#73;#CCMI|3451ec22-e6ff-42b3-8610-379fec773b3a;#4;#EN|f2175f21-25d7-44a3-96da-d6a61b075e1b;#2;#TRA|150d2a88-1431-44e6-a8ca-0bb753ab8672;#1;#EESC|422833ec-8d7e-4e65-8e4e-8bed07ffb729;#51;#SPL-CES|32d8cb1f-c9ec-4365-95c7-8385a18618ac</vt:lpwstr>
  </property>
  <property fmtid="{D5CDD505-2E9C-101B-9397-08002B2CF9AE}" pid="35" name="Rapporteur">
    <vt:lpwstr>PLOSCEANU &amp; GIBELLIERI</vt:lpwstr>
  </property>
  <property fmtid="{D5CDD505-2E9C-101B-9397-08002B2CF9AE}" pid="36" name="VersionStatus_0">
    <vt:lpwstr>Final|ea5e6674-7b27-4bac-b091-73adbb394efe</vt:lpwstr>
  </property>
  <property fmtid="{D5CDD505-2E9C-101B-9397-08002B2CF9AE}" pid="37" name="VersionStatus">
    <vt:lpwstr>6;#Final|ea5e6674-7b27-4bac-b091-73adbb394efe</vt:lpwstr>
  </property>
  <property fmtid="{D5CDD505-2E9C-101B-9397-08002B2CF9AE}" pid="38" name="DocumentYear">
    <vt:i4>2020</vt:i4>
  </property>
  <property fmtid="{D5CDD505-2E9C-101B-9397-08002B2CF9AE}" pid="39" name="FicheNumber">
    <vt:i4>6040</vt:i4>
  </property>
  <property fmtid="{D5CDD505-2E9C-101B-9397-08002B2CF9AE}" pid="40" name="DocumentLanguage">
    <vt:lpwstr>4;#EN|f2175f21-25d7-44a3-96da-d6a61b075e1b</vt:lpwstr>
  </property>
  <property fmtid="{D5CDD505-2E9C-101B-9397-08002B2CF9AE}" pid="41" name="_docset_NoMedatataSyncRequired">
    <vt:lpwstr>False</vt:lpwstr>
  </property>
</Properties>
</file>